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8151" w14:textId="4AEDB14B" w:rsidR="006D6CC6" w:rsidRPr="004A6106" w:rsidRDefault="00186556" w:rsidP="00BD10E9">
      <w:pPr>
        <w:rPr>
          <w:rFonts w:ascii="Times New Roman" w:hAnsi="Times New Roman" w:cs="Times New Roman"/>
          <w:b/>
          <w:bCs/>
          <w:color w:val="4472C4" w:themeColor="accent1"/>
          <w:lang w:val="fr-CA"/>
        </w:rPr>
      </w:pPr>
      <w:bookmarkStart w:id="0" w:name="_Toc80103338"/>
      <w:r w:rsidRPr="004A6106">
        <w:rPr>
          <w:rFonts w:ascii="Times New Roman" w:hAnsi="Times New Roman" w:cs="Times New Roman"/>
          <w:b/>
          <w:bCs/>
          <w:color w:val="4472C4" w:themeColor="accent1"/>
          <w:lang w:val="fr-CA"/>
        </w:rPr>
        <w:t xml:space="preserve">Compte rendu de l’atelier avec les parties intéressées : </w:t>
      </w:r>
      <w:r w:rsidR="004610F9" w:rsidRPr="004A6106">
        <w:rPr>
          <w:rFonts w:ascii="Times New Roman" w:hAnsi="Times New Roman" w:cs="Times New Roman"/>
          <w:b/>
          <w:bCs/>
          <w:color w:val="4472C4" w:themeColor="accent1"/>
          <w:lang w:val="fr-CA"/>
        </w:rPr>
        <w:t>s</w:t>
      </w:r>
      <w:r w:rsidR="00505C74" w:rsidRPr="004A6106">
        <w:rPr>
          <w:rFonts w:ascii="Times New Roman" w:hAnsi="Times New Roman" w:cs="Times New Roman"/>
          <w:b/>
          <w:bCs/>
          <w:color w:val="4472C4" w:themeColor="accent1"/>
          <w:lang w:val="fr-CA"/>
        </w:rPr>
        <w:t xml:space="preserve">uivi des commentaires de l’industrie sur le </w:t>
      </w:r>
      <w:r w:rsidR="00505C74" w:rsidRPr="004A6106">
        <w:rPr>
          <w:rFonts w:ascii="Times New Roman" w:hAnsi="Times New Roman" w:cs="Times New Roman"/>
          <w:b/>
          <w:bCs/>
          <w:i/>
          <w:iCs/>
          <w:color w:val="4472C4" w:themeColor="accent1"/>
          <w:lang w:val="fr-CA"/>
        </w:rPr>
        <w:t>Règlement sur la sécurité nucléaire (2023)</w:t>
      </w:r>
      <w:r w:rsidR="00505C74" w:rsidRPr="004A6106">
        <w:rPr>
          <w:rFonts w:ascii="Times New Roman" w:hAnsi="Times New Roman" w:cs="Times New Roman"/>
          <w:b/>
          <w:bCs/>
          <w:color w:val="4472C4" w:themeColor="accent1"/>
          <w:lang w:val="fr-CA"/>
        </w:rPr>
        <w:t xml:space="preserve"> proposé dans la partie 1 de la </w:t>
      </w:r>
      <w:r w:rsidR="00505C74" w:rsidRPr="004A6106">
        <w:rPr>
          <w:rFonts w:ascii="Times New Roman" w:hAnsi="Times New Roman" w:cs="Times New Roman"/>
          <w:b/>
          <w:bCs/>
          <w:i/>
          <w:iCs/>
          <w:color w:val="4472C4" w:themeColor="accent1"/>
          <w:lang w:val="fr-CA"/>
        </w:rPr>
        <w:t>Gazette du Canada</w:t>
      </w:r>
    </w:p>
    <w:p w14:paraId="29EBF64A" w14:textId="12749E69" w:rsidR="006D6CC6" w:rsidRPr="004A6106" w:rsidRDefault="006E5C97" w:rsidP="00BD10E9">
      <w:pPr>
        <w:pStyle w:val="Heading2"/>
        <w:rPr>
          <w:lang w:val="fr-CA"/>
        </w:rPr>
      </w:pPr>
      <w:r w:rsidRPr="004A6106">
        <w:rPr>
          <w:lang w:val="fr-CA"/>
        </w:rPr>
        <w:t>Préambule</w:t>
      </w:r>
    </w:p>
    <w:p w14:paraId="5C544415" w14:textId="114A5D09" w:rsidR="006D6CC6" w:rsidRPr="004A6106" w:rsidRDefault="00636179" w:rsidP="00BD10E9">
      <w:pPr>
        <w:rPr>
          <w:rFonts w:ascii="Times New Roman" w:hAnsi="Times New Roman" w:cs="Times New Roman"/>
          <w:lang w:val="fr-CA"/>
        </w:rPr>
      </w:pPr>
      <w:r w:rsidRPr="004A6106">
        <w:rPr>
          <w:rFonts w:ascii="Times New Roman" w:hAnsi="Times New Roman" w:cs="Times New Roman"/>
          <w:lang w:val="fr-CA"/>
        </w:rPr>
        <w:t xml:space="preserve">La Commission canadienne de sûreté nucléaire (CCSN) a recours à des ateliers pour mieux comprendre les éventuelles répercussions des propositions de réglementation ainsi que les conséquences et les effets des exigences réglementaires proposées sur les parties intéressées. </w:t>
      </w:r>
      <w:r w:rsidR="00C028BC" w:rsidRPr="004A6106">
        <w:rPr>
          <w:rFonts w:ascii="Times New Roman" w:hAnsi="Times New Roman" w:cs="Times New Roman"/>
          <w:lang w:val="fr-CA"/>
        </w:rPr>
        <w:t>Ces ateliers permettent aux parties intéressées de discuter ouvertement avec la CCSN.</w:t>
      </w:r>
      <w:r w:rsidRPr="004A6106">
        <w:rPr>
          <w:rFonts w:ascii="Times New Roman" w:hAnsi="Times New Roman" w:cs="Times New Roman"/>
          <w:lang w:val="fr-CA"/>
        </w:rPr>
        <w:t xml:space="preserve"> </w:t>
      </w:r>
      <w:r w:rsidR="00EE37EA" w:rsidRPr="004A6106">
        <w:rPr>
          <w:rFonts w:ascii="Times New Roman" w:hAnsi="Times New Roman" w:cs="Times New Roman"/>
          <w:lang w:val="fr-CA"/>
        </w:rPr>
        <w:t>Leurs commentaires dans le cadre de ces ateliers sont pris en considération pour déterminer les modifications possibles aux politiques ou aux exigences réglementaires proposées.</w:t>
      </w:r>
    </w:p>
    <w:p w14:paraId="27C4B33F" w14:textId="77777777" w:rsidR="006D6CC6" w:rsidRPr="004A6106" w:rsidRDefault="00CC46AF" w:rsidP="00BD10E9">
      <w:pPr>
        <w:pStyle w:val="Heading2"/>
        <w:rPr>
          <w:lang w:val="fr-CA"/>
        </w:rPr>
      </w:pPr>
      <w:r w:rsidRPr="004A6106">
        <w:rPr>
          <w:lang w:val="fr-CA"/>
        </w:rPr>
        <w:t>Introduction</w:t>
      </w:r>
      <w:bookmarkEnd w:id="0"/>
    </w:p>
    <w:p w14:paraId="401D34A7" w14:textId="2F45045A" w:rsidR="006D6CC6" w:rsidRPr="004A6106" w:rsidRDefault="009A72B3" w:rsidP="00BD10E9">
      <w:pPr>
        <w:rPr>
          <w:rFonts w:ascii="Times New Roman" w:hAnsi="Times New Roman" w:cs="Times New Roman"/>
          <w:lang w:val="fr-CA"/>
        </w:rPr>
      </w:pPr>
      <w:r w:rsidRPr="004A6106">
        <w:rPr>
          <w:rFonts w:ascii="Times New Roman" w:hAnsi="Times New Roman" w:cs="Times New Roman"/>
          <w:lang w:val="fr-CA"/>
        </w:rPr>
        <w:t xml:space="preserve">La modernisation du cadre de réglementation pour la sécurité nucléaire est un projet que la CCSN entreprend afin d’abroger le </w:t>
      </w:r>
      <w:r w:rsidRPr="004A6106">
        <w:rPr>
          <w:rFonts w:ascii="Times New Roman" w:hAnsi="Times New Roman" w:cs="Times New Roman"/>
          <w:i/>
          <w:iCs/>
          <w:lang w:val="fr-CA"/>
        </w:rPr>
        <w:t>Règlement sur la sécurité nucléaire</w:t>
      </w:r>
      <w:r w:rsidRPr="004A6106">
        <w:rPr>
          <w:rFonts w:ascii="Times New Roman" w:hAnsi="Times New Roman" w:cs="Times New Roman"/>
          <w:lang w:val="fr-CA"/>
        </w:rPr>
        <w:t xml:space="preserve"> (RSN) et de le remplacer par le </w:t>
      </w:r>
      <w:r w:rsidRPr="004A6106">
        <w:rPr>
          <w:rFonts w:ascii="Times New Roman" w:hAnsi="Times New Roman" w:cs="Times New Roman"/>
          <w:i/>
          <w:iCs/>
          <w:lang w:val="fr-CA"/>
        </w:rPr>
        <w:t>Règlement sur la sécurité nucléaire (2023)</w:t>
      </w:r>
      <w:r w:rsidRPr="004A6106">
        <w:rPr>
          <w:rFonts w:ascii="Times New Roman" w:hAnsi="Times New Roman" w:cs="Times New Roman"/>
          <w:lang w:val="fr-CA"/>
        </w:rPr>
        <w:t xml:space="preserve"> (RSN 2023).</w:t>
      </w:r>
      <w:r w:rsidRPr="004A6106">
        <w:rPr>
          <w:rFonts w:ascii="Times New Roman" w:eastAsia="Times New Roman" w:hAnsi="Times New Roman" w:cs="Times New Roman"/>
          <w:lang w:val="fr-CA"/>
        </w:rPr>
        <w:t xml:space="preserve"> </w:t>
      </w:r>
      <w:r w:rsidR="00AF3827" w:rsidRPr="004A6106">
        <w:rPr>
          <w:rFonts w:ascii="Times New Roman" w:eastAsia="Times New Roman" w:hAnsi="Times New Roman" w:cs="Times New Roman"/>
          <w:lang w:val="fr-CA"/>
        </w:rPr>
        <w:t>La CCSN propose d’adopter une approc</w:t>
      </w:r>
      <w:r w:rsidR="00C85FF3" w:rsidRPr="004A6106">
        <w:rPr>
          <w:rFonts w:ascii="Times New Roman" w:eastAsia="Times New Roman" w:hAnsi="Times New Roman" w:cs="Times New Roman"/>
          <w:lang w:val="fr-CA"/>
        </w:rPr>
        <w:t>h</w:t>
      </w:r>
      <w:r w:rsidR="00AF3827" w:rsidRPr="004A6106">
        <w:rPr>
          <w:rFonts w:ascii="Times New Roman" w:eastAsia="Times New Roman" w:hAnsi="Times New Roman" w:cs="Times New Roman"/>
          <w:lang w:val="fr-CA"/>
        </w:rPr>
        <w:t xml:space="preserve">e </w:t>
      </w:r>
      <w:r w:rsidR="009163C6" w:rsidRPr="004A6106">
        <w:rPr>
          <w:rFonts w:ascii="Times New Roman" w:eastAsia="Times New Roman" w:hAnsi="Times New Roman" w:cs="Times New Roman"/>
          <w:lang w:val="fr-CA"/>
        </w:rPr>
        <w:t>axée</w:t>
      </w:r>
      <w:r w:rsidR="00AF3827" w:rsidRPr="004A6106">
        <w:rPr>
          <w:rFonts w:ascii="Times New Roman" w:eastAsia="Times New Roman" w:hAnsi="Times New Roman" w:cs="Times New Roman"/>
          <w:lang w:val="fr-CA"/>
        </w:rPr>
        <w:t xml:space="preserve"> sur le rendement</w:t>
      </w:r>
      <w:r w:rsidRPr="004A6106">
        <w:rPr>
          <w:rStyle w:val="FootnoteReference"/>
          <w:rFonts w:ascii="Times New Roman" w:eastAsia="Times New Roman" w:hAnsi="Times New Roman" w:cs="Times New Roman"/>
          <w:lang w:val="fr-CA"/>
        </w:rPr>
        <w:footnoteReference w:id="1"/>
      </w:r>
      <w:r w:rsidR="00AF3827" w:rsidRPr="004A6106">
        <w:rPr>
          <w:rFonts w:ascii="Times New Roman" w:hAnsi="Times New Roman" w:cs="Times New Roman"/>
          <w:lang w:val="fr-CA"/>
        </w:rPr>
        <w:t xml:space="preserve"> pour réglementer la sécurité nucléaire, le cas échéant.</w:t>
      </w:r>
      <w:r w:rsidRPr="004A6106">
        <w:rPr>
          <w:rFonts w:ascii="Times New Roman" w:hAnsi="Times New Roman" w:cs="Times New Roman"/>
          <w:lang w:val="fr-CA"/>
        </w:rPr>
        <w:t xml:space="preserve"> </w:t>
      </w:r>
      <w:r w:rsidR="00C85FF3" w:rsidRPr="004A6106">
        <w:rPr>
          <w:rFonts w:ascii="Times New Roman" w:hAnsi="Times New Roman" w:cs="Times New Roman"/>
          <w:lang w:val="fr-CA"/>
        </w:rPr>
        <w:t xml:space="preserve">Cette approche confère aux demandeurs et aux titulaires de permis une faculté d’adaptation et </w:t>
      </w:r>
      <w:proofErr w:type="gramStart"/>
      <w:r w:rsidR="00C85FF3" w:rsidRPr="004A6106">
        <w:rPr>
          <w:rFonts w:ascii="Times New Roman" w:hAnsi="Times New Roman" w:cs="Times New Roman"/>
          <w:lang w:val="fr-CA"/>
        </w:rPr>
        <w:t>une souplesse accrues</w:t>
      </w:r>
      <w:proofErr w:type="gramEnd"/>
      <w:r w:rsidR="00C85FF3" w:rsidRPr="004A6106">
        <w:rPr>
          <w:rFonts w:ascii="Times New Roman" w:hAnsi="Times New Roman" w:cs="Times New Roman"/>
          <w:lang w:val="fr-CA"/>
        </w:rPr>
        <w:t xml:space="preserve"> quant aux mesures et aux approches qu’ils peuvent utiliser pour </w:t>
      </w:r>
      <w:r w:rsidR="00711938">
        <w:rPr>
          <w:rFonts w:ascii="Times New Roman" w:hAnsi="Times New Roman" w:cs="Times New Roman"/>
          <w:lang w:val="fr-CA"/>
        </w:rPr>
        <w:t>satisfaire</w:t>
      </w:r>
      <w:r w:rsidR="00C85FF3" w:rsidRPr="004A6106">
        <w:rPr>
          <w:rFonts w:ascii="Times New Roman" w:hAnsi="Times New Roman" w:cs="Times New Roman"/>
          <w:lang w:val="fr-CA"/>
        </w:rPr>
        <w:t xml:space="preserve"> aux exigences réglementaires.</w:t>
      </w:r>
      <w:r w:rsidRPr="004A6106">
        <w:rPr>
          <w:rFonts w:ascii="Times New Roman" w:hAnsi="Times New Roman" w:cs="Times New Roman"/>
          <w:lang w:val="fr-CA"/>
        </w:rPr>
        <w:t xml:space="preserve"> </w:t>
      </w:r>
      <w:r w:rsidR="003239F3" w:rsidRPr="004A6106">
        <w:rPr>
          <w:rFonts w:ascii="Times New Roman" w:hAnsi="Times New Roman" w:cs="Times New Roman"/>
          <w:lang w:val="fr-CA"/>
        </w:rPr>
        <w:t>En outre, le règlement proposé garantirait la sécurité continue des installations nucléaires dans l</w:t>
      </w:r>
      <w:r w:rsidR="00711938">
        <w:rPr>
          <w:rFonts w:ascii="Times New Roman" w:hAnsi="Times New Roman" w:cs="Times New Roman"/>
          <w:lang w:val="fr-CA"/>
        </w:rPr>
        <w:t>e</w:t>
      </w:r>
      <w:r w:rsidR="003239F3" w:rsidRPr="004A6106">
        <w:rPr>
          <w:rFonts w:ascii="Times New Roman" w:hAnsi="Times New Roman" w:cs="Times New Roman"/>
          <w:lang w:val="fr-CA"/>
        </w:rPr>
        <w:t xml:space="preserve"> contexte </w:t>
      </w:r>
      <w:r w:rsidR="00711938">
        <w:rPr>
          <w:rFonts w:ascii="Times New Roman" w:hAnsi="Times New Roman" w:cs="Times New Roman"/>
          <w:lang w:val="fr-CA"/>
        </w:rPr>
        <w:t xml:space="preserve">moderne </w:t>
      </w:r>
      <w:r w:rsidR="003239F3" w:rsidRPr="004A6106">
        <w:rPr>
          <w:rFonts w:ascii="Times New Roman" w:hAnsi="Times New Roman" w:cs="Times New Roman"/>
          <w:lang w:val="fr-CA"/>
        </w:rPr>
        <w:t xml:space="preserve">des menaces et des risques et permettrait de mettre en </w:t>
      </w:r>
      <w:r w:rsidR="004610F9" w:rsidRPr="004A6106">
        <w:rPr>
          <w:rFonts w:ascii="Times New Roman" w:hAnsi="Times New Roman" w:cs="Times New Roman"/>
          <w:lang w:val="fr-CA"/>
        </w:rPr>
        <w:t>œ</w:t>
      </w:r>
      <w:r w:rsidR="003239F3" w:rsidRPr="004A6106">
        <w:rPr>
          <w:rFonts w:ascii="Times New Roman" w:hAnsi="Times New Roman" w:cs="Times New Roman"/>
          <w:lang w:val="fr-CA"/>
        </w:rPr>
        <w:t>uvre les recommandations, les orientations et les pratiques exemplaires internationales en matière de sécurité nucléaire.</w:t>
      </w:r>
      <w:r w:rsidRPr="004A6106">
        <w:rPr>
          <w:rFonts w:ascii="Times New Roman" w:hAnsi="Times New Roman" w:cs="Times New Roman"/>
          <w:lang w:val="fr-CA"/>
        </w:rPr>
        <w:t xml:space="preserve"> </w:t>
      </w:r>
      <w:r w:rsidR="00ED196E" w:rsidRPr="004A6106">
        <w:rPr>
          <w:rFonts w:ascii="Times New Roman" w:hAnsi="Times New Roman" w:cs="Times New Roman"/>
          <w:lang w:val="fr-CA"/>
        </w:rPr>
        <w:t xml:space="preserve">Une mobilisation </w:t>
      </w:r>
      <w:r w:rsidR="00711938">
        <w:rPr>
          <w:rFonts w:ascii="Times New Roman" w:hAnsi="Times New Roman" w:cs="Times New Roman"/>
          <w:lang w:val="fr-CA"/>
        </w:rPr>
        <w:t>précoce</w:t>
      </w:r>
      <w:r w:rsidR="00ED196E" w:rsidRPr="004A6106">
        <w:rPr>
          <w:rFonts w:ascii="Times New Roman" w:hAnsi="Times New Roman" w:cs="Times New Roman"/>
          <w:lang w:val="fr-CA"/>
        </w:rPr>
        <w:t xml:space="preserve"> concernant le règlement proposé a été</w:t>
      </w:r>
      <w:r w:rsidR="004610F9" w:rsidRPr="004A6106">
        <w:rPr>
          <w:rFonts w:ascii="Times New Roman" w:hAnsi="Times New Roman" w:cs="Times New Roman"/>
          <w:lang w:val="fr-CA"/>
        </w:rPr>
        <w:t xml:space="preserve"> </w:t>
      </w:r>
      <w:r w:rsidR="00711938">
        <w:rPr>
          <w:rFonts w:ascii="Times New Roman" w:hAnsi="Times New Roman" w:cs="Times New Roman"/>
          <w:lang w:val="fr-CA"/>
        </w:rPr>
        <w:t xml:space="preserve">réalisée </w:t>
      </w:r>
      <w:r w:rsidR="00ED196E" w:rsidRPr="004A6106">
        <w:rPr>
          <w:rFonts w:ascii="Times New Roman" w:hAnsi="Times New Roman" w:cs="Times New Roman"/>
          <w:lang w:val="fr-CA"/>
        </w:rPr>
        <w:t xml:space="preserve">grâce à des documents de travail et à des ateliers, comme indiqué dans le </w:t>
      </w:r>
      <w:hyperlink r:id="rId8" w:anchor="appA" w:history="1">
        <w:r w:rsidR="00566B8F" w:rsidRPr="004A6106">
          <w:rPr>
            <w:rStyle w:val="Hyperlink"/>
            <w:rFonts w:cs="Times New Roman"/>
            <w:i/>
            <w:iCs/>
            <w:lang w:val="fr-CA"/>
          </w:rPr>
          <w:t>Compte rendu de l’atelier avec les parties intéressées</w:t>
        </w:r>
        <w:r w:rsidR="004610F9" w:rsidRPr="004A6106">
          <w:rPr>
            <w:rStyle w:val="Hyperlink"/>
            <w:rFonts w:cs="Times New Roman"/>
            <w:i/>
            <w:iCs/>
            <w:lang w:val="fr-CA"/>
          </w:rPr>
          <w:t> </w:t>
        </w:r>
        <w:r w:rsidR="00566B8F" w:rsidRPr="004A6106">
          <w:rPr>
            <w:rStyle w:val="Hyperlink"/>
            <w:rFonts w:cs="Times New Roman"/>
            <w:i/>
            <w:iCs/>
            <w:lang w:val="fr-CA"/>
          </w:rPr>
          <w:t>: Examen périodique du Règlement sur la sécurité nucléaire</w:t>
        </w:r>
      </w:hyperlink>
      <w:r w:rsidR="00ED196E" w:rsidRPr="004A6106">
        <w:rPr>
          <w:rFonts w:ascii="Times New Roman" w:hAnsi="Times New Roman" w:cs="Times New Roman"/>
          <w:lang w:val="fr-CA"/>
        </w:rPr>
        <w:t xml:space="preserve"> et</w:t>
      </w:r>
      <w:r w:rsidR="00EA300B" w:rsidRPr="004A6106">
        <w:rPr>
          <w:rFonts w:ascii="Times New Roman" w:hAnsi="Times New Roman" w:cs="Times New Roman"/>
          <w:lang w:val="fr-CA"/>
        </w:rPr>
        <w:t xml:space="preserve"> le</w:t>
      </w:r>
      <w:r w:rsidR="00ED196E" w:rsidRPr="004A6106">
        <w:rPr>
          <w:rFonts w:ascii="Times New Roman" w:hAnsi="Times New Roman" w:cs="Times New Roman"/>
          <w:lang w:val="fr-CA"/>
        </w:rPr>
        <w:t xml:space="preserve"> </w:t>
      </w:r>
      <w:hyperlink r:id="rId9" w:history="1">
        <w:r w:rsidR="00566B8F" w:rsidRPr="004A6106">
          <w:rPr>
            <w:rStyle w:val="Hyperlink"/>
            <w:rFonts w:cs="Times New Roman"/>
            <w:i/>
            <w:iCs/>
            <w:lang w:val="fr-CA"/>
          </w:rPr>
          <w:t>Rapport sur ce que nous avons entendu</w:t>
        </w:r>
        <w:r w:rsidR="004610F9" w:rsidRPr="004A6106">
          <w:rPr>
            <w:rStyle w:val="Hyperlink"/>
            <w:rFonts w:cs="Times New Roman"/>
            <w:i/>
            <w:iCs/>
            <w:lang w:val="fr-CA"/>
          </w:rPr>
          <w:t> </w:t>
        </w:r>
        <w:r w:rsidR="00566B8F" w:rsidRPr="004A6106">
          <w:rPr>
            <w:rStyle w:val="Hyperlink"/>
            <w:rFonts w:cs="Times New Roman"/>
            <w:i/>
            <w:iCs/>
            <w:lang w:val="fr-CA"/>
          </w:rPr>
          <w:t>: DIS-21-02 et DIS-21-03</w:t>
        </w:r>
      </w:hyperlink>
      <w:r w:rsidR="00ED196E" w:rsidRPr="004A6106">
        <w:rPr>
          <w:rFonts w:ascii="Times New Roman" w:hAnsi="Times New Roman" w:cs="Times New Roman"/>
          <w:lang w:val="fr-CA"/>
        </w:rPr>
        <w:t>.</w:t>
      </w:r>
    </w:p>
    <w:p w14:paraId="3B79D06C" w14:textId="694FFECD" w:rsidR="006D6CC6" w:rsidRPr="004A6106" w:rsidRDefault="00566B8F" w:rsidP="00BD10E9">
      <w:pPr>
        <w:rPr>
          <w:rFonts w:ascii="Times New Roman" w:eastAsia="Times New Roman" w:hAnsi="Times New Roman" w:cs="Times New Roman"/>
          <w:color w:val="333333"/>
          <w:lang w:val="fr-CA"/>
        </w:rPr>
      </w:pPr>
      <w:r w:rsidRPr="004A6106">
        <w:rPr>
          <w:rFonts w:ascii="Times New Roman" w:eastAsia="Times New Roman" w:hAnsi="Times New Roman" w:cs="Times New Roman"/>
          <w:lang w:val="fr-CA"/>
        </w:rPr>
        <w:t xml:space="preserve">Les documents d’application de la réglementation (série de REGDOC‑2.12) seront révisés en même temps que le </w:t>
      </w:r>
      <w:r w:rsidR="00711938">
        <w:rPr>
          <w:rFonts w:ascii="Times New Roman" w:eastAsia="Times New Roman" w:hAnsi="Times New Roman" w:cs="Times New Roman"/>
          <w:lang w:val="fr-CA"/>
        </w:rPr>
        <w:t>R</w:t>
      </w:r>
      <w:r w:rsidRPr="004A6106">
        <w:rPr>
          <w:rFonts w:ascii="Times New Roman" w:eastAsia="Times New Roman" w:hAnsi="Times New Roman" w:cs="Times New Roman"/>
          <w:lang w:val="fr-CA"/>
        </w:rPr>
        <w:t>èglement pour préciser les exigences et fournir une orientation quant à la façon de satisfaire aux exigences du RSN 2023 proposé.</w:t>
      </w:r>
      <w:r w:rsidRPr="004A6106">
        <w:rPr>
          <w:rFonts w:ascii="Times New Roman" w:eastAsia="Times New Roman" w:hAnsi="Times New Roman" w:cs="Times New Roman"/>
          <w:color w:val="333333"/>
          <w:lang w:val="fr-CA"/>
        </w:rPr>
        <w:t xml:space="preserve"> </w:t>
      </w:r>
      <w:r w:rsidR="00D5488A" w:rsidRPr="00711938">
        <w:rPr>
          <w:rFonts w:ascii="Times New Roman" w:eastAsia="Times New Roman" w:hAnsi="Times New Roman" w:cs="Times New Roman"/>
          <w:lang w:val="fr-CA"/>
        </w:rPr>
        <w:t xml:space="preserve">Une consultation </w:t>
      </w:r>
      <w:r w:rsidR="00EA300B" w:rsidRPr="00711938">
        <w:rPr>
          <w:rFonts w:ascii="Times New Roman" w:eastAsia="Times New Roman" w:hAnsi="Times New Roman" w:cs="Times New Roman"/>
          <w:lang w:val="fr-CA"/>
        </w:rPr>
        <w:t xml:space="preserve">préalable </w:t>
      </w:r>
      <w:r w:rsidR="00D5488A" w:rsidRPr="00711938">
        <w:rPr>
          <w:rFonts w:ascii="Times New Roman" w:eastAsia="Times New Roman" w:hAnsi="Times New Roman" w:cs="Times New Roman"/>
          <w:lang w:val="fr-CA"/>
        </w:rPr>
        <w:t>sur les REGDOC révisés a été réalisée en utilisant le document de travail de la CCSN</w:t>
      </w:r>
      <w:r w:rsidR="004610F9" w:rsidRPr="00711938">
        <w:rPr>
          <w:rFonts w:ascii="Times New Roman" w:eastAsia="Times New Roman" w:hAnsi="Times New Roman" w:cs="Times New Roman"/>
          <w:lang w:val="fr-CA"/>
        </w:rPr>
        <w:t> </w:t>
      </w:r>
      <w:hyperlink r:id="rId10" w:history="1">
        <w:r w:rsidR="00B961ED" w:rsidRPr="004A6106">
          <w:rPr>
            <w:rStyle w:val="Hyperlink"/>
            <w:rFonts w:eastAsia="Times New Roman" w:cs="Times New Roman"/>
            <w:lang w:val="fr-CA"/>
          </w:rPr>
          <w:t xml:space="preserve">DIS-22-02, </w:t>
        </w:r>
        <w:r w:rsidR="00B961ED" w:rsidRPr="004A6106">
          <w:rPr>
            <w:rStyle w:val="Hyperlink"/>
            <w:rFonts w:eastAsia="Times New Roman" w:cs="Times New Roman"/>
            <w:i/>
            <w:iCs/>
            <w:lang w:val="fr-CA"/>
          </w:rPr>
          <w:t>Propositions de modification de la série de REGDOC</w:t>
        </w:r>
        <w:r w:rsidR="004610F9" w:rsidRPr="004A6106">
          <w:rPr>
            <w:rStyle w:val="Hyperlink"/>
            <w:rFonts w:eastAsia="Times New Roman" w:cs="Times New Roman"/>
            <w:i/>
            <w:iCs/>
            <w:lang w:val="fr-CA"/>
          </w:rPr>
          <w:t> </w:t>
        </w:r>
        <w:r w:rsidR="00B961ED" w:rsidRPr="004A6106">
          <w:rPr>
            <w:rStyle w:val="Hyperlink"/>
            <w:rFonts w:eastAsia="Times New Roman" w:cs="Times New Roman"/>
            <w:i/>
            <w:iCs/>
            <w:lang w:val="fr-CA"/>
          </w:rPr>
          <w:t>2.12 sur la sécurité nucléaire</w:t>
        </w:r>
      </w:hyperlink>
      <w:r w:rsidR="00A00F45" w:rsidRPr="00711938">
        <w:rPr>
          <w:rFonts w:ascii="Times New Roman" w:hAnsi="Times New Roman" w:cs="Times New Roman"/>
          <w:lang w:val="fr-CA"/>
        </w:rPr>
        <w:t>.</w:t>
      </w:r>
      <w:r w:rsidRPr="00711938">
        <w:rPr>
          <w:rFonts w:ascii="Times New Roman" w:eastAsia="Times New Roman" w:hAnsi="Times New Roman" w:cs="Times New Roman"/>
          <w:color w:val="333333"/>
          <w:lang w:val="fr-CA"/>
        </w:rPr>
        <w:t xml:space="preserve"> </w:t>
      </w:r>
    </w:p>
    <w:p w14:paraId="4B3D8C56" w14:textId="231167A1" w:rsidR="006D6CC6" w:rsidRPr="004A6106" w:rsidRDefault="00B00BE5" w:rsidP="00BD10E9">
      <w:pPr>
        <w:pStyle w:val="Heading2"/>
        <w:rPr>
          <w:lang w:val="fr-CA"/>
        </w:rPr>
      </w:pPr>
      <w:r w:rsidRPr="004A6106">
        <w:rPr>
          <w:lang w:val="fr-CA"/>
        </w:rPr>
        <w:t>Consultation afférente à la publication dans la partie </w:t>
      </w:r>
      <w:r w:rsidR="00E55EAC" w:rsidRPr="004A6106">
        <w:rPr>
          <w:lang w:val="fr-CA"/>
        </w:rPr>
        <w:t>I</w:t>
      </w:r>
      <w:r w:rsidRPr="004A6106">
        <w:rPr>
          <w:lang w:val="fr-CA"/>
        </w:rPr>
        <w:t xml:space="preserve"> de la </w:t>
      </w:r>
      <w:r w:rsidRPr="004A6106">
        <w:rPr>
          <w:i/>
          <w:iCs/>
          <w:lang w:val="fr-CA"/>
        </w:rPr>
        <w:t>Gazette du Canada</w:t>
      </w:r>
    </w:p>
    <w:p w14:paraId="133D9590" w14:textId="77DC42CD" w:rsidR="006D6CC6" w:rsidRPr="004A6106" w:rsidRDefault="002A01FE" w:rsidP="00BD10E9">
      <w:pPr>
        <w:pStyle w:val="BodyText"/>
        <w:ind w:left="0"/>
        <w:rPr>
          <w:lang w:val="fr-CA"/>
        </w:rPr>
      </w:pPr>
      <w:r w:rsidRPr="004A6106">
        <w:rPr>
          <w:lang w:val="fr-CA"/>
        </w:rPr>
        <w:t xml:space="preserve">Le RSN 2023 proposé a été publié au préalable dans la </w:t>
      </w:r>
      <w:hyperlink r:id="rId11" w:history="1">
        <w:r w:rsidRPr="004A6106">
          <w:rPr>
            <w:rStyle w:val="Hyperlink"/>
            <w:lang w:val="fr-CA"/>
          </w:rPr>
          <w:t>partie </w:t>
        </w:r>
        <w:r w:rsidR="00E55EAC" w:rsidRPr="004A6106">
          <w:rPr>
            <w:rStyle w:val="Hyperlink"/>
            <w:lang w:val="fr-CA"/>
          </w:rPr>
          <w:t>I</w:t>
        </w:r>
        <w:r w:rsidRPr="004A6106">
          <w:rPr>
            <w:rStyle w:val="Hyperlink"/>
            <w:lang w:val="fr-CA"/>
          </w:rPr>
          <w:t xml:space="preserve"> </w:t>
        </w:r>
        <w:r w:rsidRPr="00711938">
          <w:rPr>
            <w:rStyle w:val="Hyperlink"/>
            <w:lang w:val="fr-CA"/>
          </w:rPr>
          <w:t>de la</w:t>
        </w:r>
        <w:r w:rsidRPr="004A6106">
          <w:rPr>
            <w:rStyle w:val="Hyperlink"/>
            <w:i/>
            <w:iCs/>
            <w:lang w:val="fr-CA"/>
          </w:rPr>
          <w:t xml:space="preserve"> Gazette du Canada</w:t>
        </w:r>
      </w:hyperlink>
      <w:r w:rsidRPr="004A6106">
        <w:rPr>
          <w:lang w:val="fr-CA"/>
        </w:rPr>
        <w:t xml:space="preserve"> (GC </w:t>
      </w:r>
      <w:r w:rsidR="00E55EAC" w:rsidRPr="004A6106">
        <w:rPr>
          <w:lang w:val="fr-CA"/>
        </w:rPr>
        <w:t>I</w:t>
      </w:r>
      <w:r w:rsidRPr="004A6106">
        <w:rPr>
          <w:lang w:val="fr-CA"/>
        </w:rPr>
        <w:t>) pour une consultation de 60 jours (12 nov</w:t>
      </w:r>
      <w:r w:rsidR="00711938">
        <w:rPr>
          <w:lang w:val="fr-CA"/>
        </w:rPr>
        <w:t>embre</w:t>
      </w:r>
      <w:r w:rsidRPr="004A6106">
        <w:rPr>
          <w:lang w:val="fr-CA"/>
        </w:rPr>
        <w:t> 2022 au 11 janv</w:t>
      </w:r>
      <w:r w:rsidR="00711938">
        <w:rPr>
          <w:lang w:val="fr-CA"/>
        </w:rPr>
        <w:t>ier</w:t>
      </w:r>
      <w:r w:rsidRPr="004A6106">
        <w:rPr>
          <w:lang w:val="fr-CA"/>
        </w:rPr>
        <w:t xml:space="preserve"> 2023). </w:t>
      </w:r>
      <w:r w:rsidR="00006811" w:rsidRPr="004A6106">
        <w:rPr>
          <w:lang w:val="fr-CA"/>
        </w:rPr>
        <w:t>La CCSN a reçu plus de 150 commentaires</w:t>
      </w:r>
      <w:r w:rsidR="006F1E56" w:rsidRPr="004A6106">
        <w:rPr>
          <w:lang w:val="fr-CA"/>
        </w:rPr>
        <w:t xml:space="preserve"> </w:t>
      </w:r>
      <w:r w:rsidR="00006811" w:rsidRPr="004A6106">
        <w:rPr>
          <w:lang w:val="fr-CA"/>
        </w:rPr>
        <w:t xml:space="preserve">uniques de parties intéressées de l’industrie et de membres du public pendant cette période de consultation, surtout en ce qui a trait à certaines exigences proposées </w:t>
      </w:r>
      <w:r w:rsidR="00EA300B" w:rsidRPr="004A6106">
        <w:rPr>
          <w:lang w:val="fr-CA"/>
        </w:rPr>
        <w:t>présentant un intérêt particulier</w:t>
      </w:r>
      <w:r w:rsidR="00711938">
        <w:rPr>
          <w:lang w:val="fr-CA"/>
        </w:rPr>
        <w:t xml:space="preserve"> ou soulevant des préoccupations</w:t>
      </w:r>
      <w:r w:rsidR="00006811" w:rsidRPr="004A6106">
        <w:rPr>
          <w:lang w:val="fr-CA"/>
        </w:rPr>
        <w:t>.</w:t>
      </w:r>
      <w:r w:rsidRPr="004A6106">
        <w:rPr>
          <w:lang w:val="fr-CA"/>
        </w:rPr>
        <w:t xml:space="preserve"> </w:t>
      </w:r>
      <w:r w:rsidR="00381FD3" w:rsidRPr="004A6106">
        <w:rPr>
          <w:lang w:val="fr-CA"/>
        </w:rPr>
        <w:t>Après la fin de la consultation sur la GC </w:t>
      </w:r>
      <w:r w:rsidR="00E55EAC" w:rsidRPr="004A6106">
        <w:rPr>
          <w:lang w:val="fr-CA"/>
        </w:rPr>
        <w:t>I</w:t>
      </w:r>
      <w:r w:rsidR="00381FD3" w:rsidRPr="004A6106">
        <w:rPr>
          <w:lang w:val="fr-CA"/>
        </w:rPr>
        <w:t xml:space="preserve">, la CCSN a examiné les commentaires de l’industrie et déterminé plusieurs thèmes suscitant </w:t>
      </w:r>
      <w:r w:rsidR="00711938">
        <w:rPr>
          <w:lang w:val="fr-CA"/>
        </w:rPr>
        <w:t>des</w:t>
      </w:r>
      <w:r w:rsidR="00381FD3" w:rsidRPr="004A6106">
        <w:rPr>
          <w:lang w:val="fr-CA"/>
        </w:rPr>
        <w:t xml:space="preserve"> préoccupation</w:t>
      </w:r>
      <w:r w:rsidR="00711938">
        <w:rPr>
          <w:lang w:val="fr-CA"/>
        </w:rPr>
        <w:t>s</w:t>
      </w:r>
      <w:r w:rsidR="00381FD3" w:rsidRPr="004A6106">
        <w:rPr>
          <w:lang w:val="fr-CA"/>
        </w:rPr>
        <w:t xml:space="preserve"> de ces parties intéressées en particulier.</w:t>
      </w:r>
      <w:r w:rsidRPr="004A6106">
        <w:rPr>
          <w:lang w:val="fr-CA"/>
        </w:rPr>
        <w:t xml:space="preserve"> </w:t>
      </w:r>
      <w:r w:rsidR="00506CAC" w:rsidRPr="004A6106">
        <w:rPr>
          <w:lang w:val="fr-CA"/>
        </w:rPr>
        <w:t>Afin d’apporter des précisions et de mieux comprendre les préoccupations de l’industrie, la CCSN a planifié des ateliers sur les principaux thèmes découlant des commentaires de l’industrie dans le cadre de la consultation sur la GC </w:t>
      </w:r>
      <w:r w:rsidR="00E55EAC" w:rsidRPr="004A6106">
        <w:rPr>
          <w:lang w:val="fr-CA"/>
        </w:rPr>
        <w:t>I</w:t>
      </w:r>
      <w:r w:rsidR="00506CAC" w:rsidRPr="004A6106">
        <w:rPr>
          <w:lang w:val="fr-CA"/>
        </w:rPr>
        <w:t>.</w:t>
      </w:r>
      <w:r w:rsidRPr="004A6106">
        <w:rPr>
          <w:lang w:val="fr-CA"/>
        </w:rPr>
        <w:t xml:space="preserve"> </w:t>
      </w:r>
    </w:p>
    <w:p w14:paraId="3C9F7261" w14:textId="122B9044" w:rsidR="006D6CC6" w:rsidRPr="004A6106" w:rsidRDefault="00651783" w:rsidP="00BD10E9">
      <w:pPr>
        <w:rPr>
          <w:rFonts w:ascii="Times New Roman" w:hAnsi="Times New Roman" w:cs="Times New Roman"/>
          <w:lang w:val="fr-CA"/>
        </w:rPr>
      </w:pPr>
      <w:r w:rsidRPr="004A6106">
        <w:rPr>
          <w:rFonts w:ascii="Times New Roman" w:hAnsi="Times New Roman" w:cs="Times New Roman"/>
          <w:lang w:val="fr-CA"/>
        </w:rPr>
        <w:t xml:space="preserve">Tous les commentaires reçus sur le règlement proposé ont été affichés sur le </w:t>
      </w:r>
      <w:hyperlink r:id="rId12" w:history="1">
        <w:r w:rsidRPr="004A6106">
          <w:rPr>
            <w:rStyle w:val="Hyperlink"/>
            <w:rFonts w:cs="Times New Roman"/>
            <w:lang w:val="fr-CA"/>
          </w:rPr>
          <w:t>site Web de la GC </w:t>
        </w:r>
        <w:r w:rsidR="00E55EAC" w:rsidRPr="004A6106">
          <w:rPr>
            <w:rStyle w:val="Hyperlink"/>
            <w:rFonts w:cs="Times New Roman"/>
            <w:lang w:val="fr-CA"/>
          </w:rPr>
          <w:t>I</w:t>
        </w:r>
      </w:hyperlink>
      <w:r w:rsidRPr="004A6106">
        <w:rPr>
          <w:rFonts w:ascii="Times New Roman" w:hAnsi="Times New Roman" w:cs="Times New Roman"/>
          <w:lang w:val="fr-CA"/>
        </w:rPr>
        <w:t xml:space="preserve">, conformément aux exigences des organismes de réglementation fédéraux. </w:t>
      </w:r>
      <w:r w:rsidR="0021018E" w:rsidRPr="004A6106">
        <w:rPr>
          <w:rFonts w:ascii="Times New Roman" w:hAnsi="Times New Roman" w:cs="Times New Roman"/>
          <w:lang w:val="fr-CA"/>
        </w:rPr>
        <w:t>Un sommaire des thèmes importants découlant des commentair</w:t>
      </w:r>
      <w:r w:rsidR="00E55EAC" w:rsidRPr="004A6106">
        <w:rPr>
          <w:rFonts w:ascii="Times New Roman" w:hAnsi="Times New Roman" w:cs="Times New Roman"/>
          <w:lang w:val="fr-CA"/>
        </w:rPr>
        <w:t>e</w:t>
      </w:r>
      <w:r w:rsidR="0021018E" w:rsidRPr="004A6106">
        <w:rPr>
          <w:rFonts w:ascii="Times New Roman" w:hAnsi="Times New Roman" w:cs="Times New Roman"/>
          <w:lang w:val="fr-CA"/>
        </w:rPr>
        <w:t>s des parties intéressées et de la façon</w:t>
      </w:r>
      <w:r w:rsidR="00EA300B" w:rsidRPr="004A6106">
        <w:rPr>
          <w:rFonts w:ascii="Times New Roman" w:hAnsi="Times New Roman" w:cs="Times New Roman"/>
          <w:lang w:val="fr-CA"/>
        </w:rPr>
        <w:t xml:space="preserve"> dont la CCSN a abordé</w:t>
      </w:r>
      <w:r w:rsidR="0021018E" w:rsidRPr="004A6106">
        <w:rPr>
          <w:rFonts w:ascii="Times New Roman" w:hAnsi="Times New Roman" w:cs="Times New Roman"/>
          <w:lang w:val="fr-CA"/>
        </w:rPr>
        <w:t xml:space="preserve"> ces </w:t>
      </w:r>
      <w:r w:rsidR="0021018E" w:rsidRPr="004A6106">
        <w:rPr>
          <w:rFonts w:ascii="Times New Roman" w:hAnsi="Times New Roman" w:cs="Times New Roman"/>
          <w:lang w:val="fr-CA"/>
        </w:rPr>
        <w:lastRenderedPageBreak/>
        <w:t xml:space="preserve">thèmes </w:t>
      </w:r>
      <w:r w:rsidR="004610F9" w:rsidRPr="004A6106">
        <w:rPr>
          <w:rFonts w:ascii="Times New Roman" w:hAnsi="Times New Roman" w:cs="Times New Roman"/>
          <w:lang w:val="fr-CA"/>
        </w:rPr>
        <w:t>sera inclus dans le</w:t>
      </w:r>
      <w:r w:rsidR="0021018E" w:rsidRPr="004A6106">
        <w:rPr>
          <w:rFonts w:ascii="Times New Roman" w:hAnsi="Times New Roman" w:cs="Times New Roman"/>
          <w:lang w:val="fr-CA"/>
        </w:rPr>
        <w:t xml:space="preserve"> résumé de l’étude d’impact de la réglementation (REIR) qui </w:t>
      </w:r>
      <w:r w:rsidR="004610F9" w:rsidRPr="004A6106">
        <w:rPr>
          <w:rFonts w:ascii="Times New Roman" w:hAnsi="Times New Roman" w:cs="Times New Roman"/>
          <w:lang w:val="fr-CA"/>
        </w:rPr>
        <w:t>fera partie de</w:t>
      </w:r>
      <w:r w:rsidR="0021018E" w:rsidRPr="004A6106">
        <w:rPr>
          <w:rFonts w:ascii="Times New Roman" w:hAnsi="Times New Roman" w:cs="Times New Roman"/>
          <w:lang w:val="fr-CA"/>
        </w:rPr>
        <w:t xml:space="preserve"> la future publication sur le règlement d</w:t>
      </w:r>
      <w:r w:rsidR="004610F9" w:rsidRPr="004A6106">
        <w:rPr>
          <w:rFonts w:ascii="Times New Roman" w:hAnsi="Times New Roman" w:cs="Times New Roman"/>
          <w:lang w:val="fr-CA"/>
        </w:rPr>
        <w:t>ans</w:t>
      </w:r>
      <w:r w:rsidR="0021018E" w:rsidRPr="004A6106">
        <w:rPr>
          <w:rFonts w:ascii="Times New Roman" w:hAnsi="Times New Roman" w:cs="Times New Roman"/>
          <w:lang w:val="fr-CA"/>
        </w:rPr>
        <w:t xml:space="preserve"> la partie II de la </w:t>
      </w:r>
      <w:r w:rsidR="0021018E" w:rsidRPr="004A6106">
        <w:rPr>
          <w:rFonts w:ascii="Times New Roman" w:hAnsi="Times New Roman" w:cs="Times New Roman"/>
          <w:i/>
          <w:iCs/>
          <w:lang w:val="fr-CA"/>
        </w:rPr>
        <w:t>Gazette du Canada</w:t>
      </w:r>
      <w:r w:rsidR="00D2481D" w:rsidRPr="004A6106">
        <w:rPr>
          <w:rFonts w:ascii="Times New Roman" w:hAnsi="Times New Roman" w:cs="Times New Roman"/>
          <w:lang w:val="fr-CA"/>
        </w:rPr>
        <w:t>.</w:t>
      </w:r>
      <w:r w:rsidRPr="004A6106">
        <w:rPr>
          <w:rFonts w:ascii="Times New Roman" w:hAnsi="Times New Roman" w:cs="Times New Roman"/>
          <w:lang w:val="fr-CA"/>
        </w:rPr>
        <w:t xml:space="preserve"> </w:t>
      </w:r>
      <w:r w:rsidR="00AD6142" w:rsidRPr="004A6106">
        <w:rPr>
          <w:rFonts w:ascii="Times New Roman" w:hAnsi="Times New Roman" w:cs="Times New Roman"/>
          <w:lang w:val="fr-CA"/>
        </w:rPr>
        <w:t>Tous les commentaires reçus pendant la consultation sur la publication dans la GC I seront examinés et pris en compte au moment de peaufiner le règlement proposé.</w:t>
      </w:r>
      <w:r w:rsidRPr="004A6106">
        <w:rPr>
          <w:rFonts w:ascii="Times New Roman" w:hAnsi="Times New Roman" w:cs="Times New Roman"/>
          <w:lang w:val="fr-CA"/>
        </w:rPr>
        <w:t xml:space="preserve">  </w:t>
      </w:r>
    </w:p>
    <w:p w14:paraId="4BF3CE80" w14:textId="4EEA5AC6" w:rsidR="006D6CC6" w:rsidRPr="004A6106" w:rsidRDefault="00D2481D" w:rsidP="00BD10E9">
      <w:pPr>
        <w:pStyle w:val="Heading2"/>
        <w:rPr>
          <w:lang w:val="fr-CA"/>
        </w:rPr>
      </w:pPr>
      <w:r w:rsidRPr="004A6106">
        <w:rPr>
          <w:lang w:val="fr-CA"/>
        </w:rPr>
        <w:t>Ateliers</w:t>
      </w:r>
    </w:p>
    <w:p w14:paraId="6345E77A" w14:textId="1983242A" w:rsidR="006D6CC6" w:rsidRPr="004A6106" w:rsidRDefault="00DE2036" w:rsidP="00BD10E9">
      <w:pPr>
        <w:rPr>
          <w:rFonts w:ascii="Times New Roman" w:hAnsi="Times New Roman" w:cs="Times New Roman"/>
          <w:lang w:val="fr-CA"/>
        </w:rPr>
      </w:pPr>
      <w:r w:rsidRPr="004A6106">
        <w:rPr>
          <w:rFonts w:ascii="Times New Roman" w:hAnsi="Times New Roman" w:cs="Times New Roman"/>
          <w:lang w:val="fr-CA"/>
        </w:rPr>
        <w:t xml:space="preserve">Après l’examen des commentaires sur la GC I, le personnel de la CCSN a ciblé plusieurs thèmes importants suscitant l’intérêt et la préoccupation des parties intéressées et devant </w:t>
      </w:r>
      <w:r w:rsidR="00EA300B" w:rsidRPr="004A6106">
        <w:rPr>
          <w:rFonts w:ascii="Times New Roman" w:hAnsi="Times New Roman" w:cs="Times New Roman"/>
          <w:lang w:val="fr-CA"/>
        </w:rPr>
        <w:t>être discutés plus longuement</w:t>
      </w:r>
      <w:r w:rsidRPr="004A6106">
        <w:rPr>
          <w:rStyle w:val="FootnoteReference"/>
          <w:rFonts w:ascii="Times New Roman" w:hAnsi="Times New Roman" w:cs="Times New Roman"/>
          <w:lang w:val="fr-CA"/>
        </w:rPr>
        <w:footnoteReference w:id="2"/>
      </w:r>
      <w:r w:rsidRPr="004A6106">
        <w:rPr>
          <w:rFonts w:ascii="Times New Roman" w:hAnsi="Times New Roman" w:cs="Times New Roman"/>
          <w:lang w:val="fr-CA"/>
        </w:rPr>
        <w:t xml:space="preserve">. </w:t>
      </w:r>
      <w:r w:rsidR="000E670E" w:rsidRPr="004A6106">
        <w:rPr>
          <w:rFonts w:ascii="Times New Roman" w:hAnsi="Times New Roman" w:cs="Times New Roman"/>
          <w:lang w:val="fr-CA"/>
        </w:rPr>
        <w:t>Du 22 au 24 mars 2023, le personnel de la CCSN a tenu des ateliers hybrides à l’administration centrale de la CCSN</w:t>
      </w:r>
      <w:r w:rsidRPr="004A6106">
        <w:rPr>
          <w:rStyle w:val="FootnoteReference"/>
          <w:rFonts w:ascii="Times New Roman" w:hAnsi="Times New Roman" w:cs="Times New Roman"/>
          <w:lang w:val="fr-CA"/>
        </w:rPr>
        <w:footnoteReference w:id="3"/>
      </w:r>
      <w:r w:rsidR="000E670E" w:rsidRPr="004A6106">
        <w:rPr>
          <w:rFonts w:ascii="Times New Roman" w:hAnsi="Times New Roman" w:cs="Times New Roman"/>
          <w:lang w:val="fr-CA"/>
        </w:rPr>
        <w:t xml:space="preserve"> à Ottawa avec </w:t>
      </w:r>
      <w:r w:rsidR="00EA300B" w:rsidRPr="004A6106">
        <w:rPr>
          <w:rFonts w:ascii="Times New Roman" w:hAnsi="Times New Roman" w:cs="Times New Roman"/>
          <w:lang w:val="fr-CA"/>
        </w:rPr>
        <w:t>d</w:t>
      </w:r>
      <w:r w:rsidR="000E670E" w:rsidRPr="004A6106">
        <w:rPr>
          <w:rFonts w:ascii="Times New Roman" w:hAnsi="Times New Roman" w:cs="Times New Roman"/>
          <w:lang w:val="fr-CA"/>
        </w:rPr>
        <w:t xml:space="preserve">es titulaires de permis, </w:t>
      </w:r>
      <w:r w:rsidR="00EA300B" w:rsidRPr="004A6106">
        <w:rPr>
          <w:rFonts w:ascii="Times New Roman" w:hAnsi="Times New Roman" w:cs="Times New Roman"/>
          <w:lang w:val="fr-CA"/>
        </w:rPr>
        <w:t>d</w:t>
      </w:r>
      <w:r w:rsidR="000E670E" w:rsidRPr="004A6106">
        <w:rPr>
          <w:rFonts w:ascii="Times New Roman" w:hAnsi="Times New Roman" w:cs="Times New Roman"/>
          <w:lang w:val="fr-CA"/>
        </w:rPr>
        <w:t xml:space="preserve">es fournisseurs de réacteurs et </w:t>
      </w:r>
      <w:r w:rsidR="00EA300B" w:rsidRPr="004A6106">
        <w:rPr>
          <w:rFonts w:ascii="Times New Roman" w:hAnsi="Times New Roman" w:cs="Times New Roman"/>
          <w:lang w:val="fr-CA"/>
        </w:rPr>
        <w:t>d</w:t>
      </w:r>
      <w:r w:rsidR="000E670E" w:rsidRPr="004A6106">
        <w:rPr>
          <w:rFonts w:ascii="Times New Roman" w:hAnsi="Times New Roman" w:cs="Times New Roman"/>
          <w:lang w:val="fr-CA"/>
        </w:rPr>
        <w:t>es organismes de transport concernés.</w:t>
      </w:r>
      <w:r w:rsidRPr="004A6106">
        <w:rPr>
          <w:rFonts w:ascii="Times New Roman" w:hAnsi="Times New Roman" w:cs="Times New Roman"/>
          <w:lang w:val="fr-CA"/>
        </w:rPr>
        <w:t xml:space="preserve"> </w:t>
      </w:r>
      <w:r w:rsidR="00305AA5" w:rsidRPr="004A6106">
        <w:rPr>
          <w:rFonts w:ascii="Times New Roman" w:hAnsi="Times New Roman" w:cs="Times New Roman"/>
          <w:lang w:val="fr-CA"/>
        </w:rPr>
        <w:t>Ces séances de consultation comprenaient une brève présentation de l’état de la proposition de réglementation, du processus d’élaboration du règlement, des principaux buts et objectifs des ateliers et de la</w:t>
      </w:r>
      <w:r w:rsidR="00CB557E" w:rsidRPr="004A6106">
        <w:rPr>
          <w:rFonts w:ascii="Times New Roman" w:hAnsi="Times New Roman" w:cs="Times New Roman"/>
          <w:lang w:val="fr-CA"/>
        </w:rPr>
        <w:t xml:space="preserve"> voie</w:t>
      </w:r>
      <w:r w:rsidR="00305AA5" w:rsidRPr="004A6106">
        <w:rPr>
          <w:rFonts w:ascii="Times New Roman" w:hAnsi="Times New Roman" w:cs="Times New Roman"/>
          <w:lang w:val="fr-CA"/>
        </w:rPr>
        <w:t xml:space="preserve"> à suivre proposée.</w:t>
      </w:r>
      <w:r w:rsidRPr="004A6106">
        <w:rPr>
          <w:rFonts w:ascii="Times New Roman" w:hAnsi="Times New Roman" w:cs="Times New Roman"/>
          <w:lang w:val="fr-CA"/>
        </w:rPr>
        <w:t xml:space="preserve"> </w:t>
      </w:r>
      <w:r w:rsidR="00EA300B" w:rsidRPr="004A6106">
        <w:rPr>
          <w:rFonts w:ascii="Times New Roman" w:hAnsi="Times New Roman" w:cs="Times New Roman"/>
          <w:lang w:val="fr-CA"/>
        </w:rPr>
        <w:t xml:space="preserve">Après les présentations, on a invité les représentants de l’industrie à poser des questions et à parler de leurs préoccupations pour chaque thème. Un dialogue avec </w:t>
      </w:r>
      <w:r w:rsidR="00AE7D3B">
        <w:rPr>
          <w:rFonts w:ascii="Times New Roman" w:hAnsi="Times New Roman" w:cs="Times New Roman"/>
          <w:lang w:val="fr-CA"/>
        </w:rPr>
        <w:t>le</w:t>
      </w:r>
      <w:r w:rsidR="00EA300B" w:rsidRPr="004A6106">
        <w:rPr>
          <w:rFonts w:ascii="Times New Roman" w:hAnsi="Times New Roman" w:cs="Times New Roman"/>
          <w:lang w:val="fr-CA"/>
        </w:rPr>
        <w:t xml:space="preserve"> personnel de la CCSN s’est ensuite déroulé sur ces thèmes pour s’assurer que les parties intéressées de l’industrie et la CCSN comprennent mieux les conséquences prévues et la justific</w:t>
      </w:r>
      <w:r w:rsidR="0079061A" w:rsidRPr="004A6106">
        <w:rPr>
          <w:rFonts w:ascii="Times New Roman" w:hAnsi="Times New Roman" w:cs="Times New Roman"/>
          <w:lang w:val="fr-CA"/>
        </w:rPr>
        <w:t>a</w:t>
      </w:r>
      <w:r w:rsidR="00EA300B" w:rsidRPr="004A6106">
        <w:rPr>
          <w:rFonts w:ascii="Times New Roman" w:hAnsi="Times New Roman" w:cs="Times New Roman"/>
          <w:lang w:val="fr-CA"/>
        </w:rPr>
        <w:t>tion de chaque thème ou exigence proposée.</w:t>
      </w:r>
      <w:r w:rsidRPr="004A6106">
        <w:rPr>
          <w:rFonts w:ascii="Times New Roman" w:hAnsi="Times New Roman" w:cs="Times New Roman"/>
          <w:lang w:val="fr-CA"/>
        </w:rPr>
        <w:t xml:space="preserve"> </w:t>
      </w:r>
      <w:r w:rsidR="003A11E7" w:rsidRPr="004A6106">
        <w:rPr>
          <w:rFonts w:ascii="Times New Roman" w:hAnsi="Times New Roman" w:cs="Times New Roman"/>
          <w:lang w:val="fr-CA"/>
        </w:rPr>
        <w:t>Ce dialogue a permis aux parties intéressées de l’industrie de mieux comprendre les changements proposés aux exigences en matière de sécurité et de préciser les attentes.</w:t>
      </w:r>
      <w:r w:rsidRPr="004A6106">
        <w:rPr>
          <w:rFonts w:ascii="Times New Roman" w:hAnsi="Times New Roman" w:cs="Times New Roman"/>
          <w:lang w:val="fr-CA"/>
        </w:rPr>
        <w:t xml:space="preserve">   </w:t>
      </w:r>
    </w:p>
    <w:p w14:paraId="0BCE3181" w14:textId="77777777" w:rsidR="006D6CC6" w:rsidRPr="004A6106" w:rsidRDefault="00CC46AF" w:rsidP="00BD10E9">
      <w:pPr>
        <w:pStyle w:val="Heading2"/>
        <w:rPr>
          <w:lang w:val="fr-CA"/>
        </w:rPr>
      </w:pPr>
      <w:r w:rsidRPr="004A6106">
        <w:rPr>
          <w:lang w:val="fr-CA"/>
        </w:rPr>
        <w:t>Discussions</w:t>
      </w:r>
    </w:p>
    <w:p w14:paraId="4451C409" w14:textId="7BE37EB6" w:rsidR="006D6CC6" w:rsidRDefault="00401174" w:rsidP="00BD10E9">
      <w:pPr>
        <w:rPr>
          <w:rFonts w:ascii="Times New Roman" w:hAnsi="Times New Roman" w:cs="Times New Roman"/>
          <w:lang w:val="fr-CA"/>
        </w:rPr>
      </w:pPr>
      <w:r w:rsidRPr="004A6106">
        <w:rPr>
          <w:rFonts w:ascii="Times New Roman" w:hAnsi="Times New Roman" w:cs="Times New Roman"/>
          <w:lang w:val="fr-CA"/>
        </w:rPr>
        <w:t xml:space="preserve">Les sections suivantes décrivent les discussions sur les thèmes des ateliers et fournissent notamment, des précisions et des renseignements additionnels sur les domaines préoccupants et la possible voie à suivre pour chaque thème. </w:t>
      </w:r>
      <w:r w:rsidR="00D77CCA" w:rsidRPr="004A6106">
        <w:rPr>
          <w:rFonts w:ascii="Times New Roman" w:hAnsi="Times New Roman" w:cs="Times New Roman"/>
          <w:lang w:val="fr-CA"/>
        </w:rPr>
        <w:t>Plusieurs thèmes concernaient autant les parties intéressées des sites à sécurité élevée (SSE) que les parties intéressées de sites autres que les SSE.</w:t>
      </w:r>
      <w:r w:rsidRPr="004A6106">
        <w:rPr>
          <w:rFonts w:ascii="Times New Roman" w:hAnsi="Times New Roman" w:cs="Times New Roman"/>
          <w:lang w:val="fr-CA"/>
        </w:rPr>
        <w:t xml:space="preserve"> </w:t>
      </w:r>
    </w:p>
    <w:p w14:paraId="622FF439" w14:textId="77777777" w:rsidR="009A59C5" w:rsidRDefault="009A59C5" w:rsidP="00BD10E9">
      <w:pPr>
        <w:rPr>
          <w:rFonts w:ascii="Times New Roman" w:hAnsi="Times New Roman" w:cs="Times New Roman"/>
          <w:lang w:val="fr-CA"/>
        </w:rPr>
      </w:pPr>
    </w:p>
    <w:p w14:paraId="0FDA77BF" w14:textId="057B0F95" w:rsidR="006D6CC6" w:rsidRDefault="00C73415" w:rsidP="00BD10E9">
      <w:pPr>
        <w:pStyle w:val="Heading2"/>
        <w:rPr>
          <w:lang w:val="fr-CA"/>
        </w:rPr>
      </w:pPr>
      <w:r w:rsidRPr="004A6106">
        <w:rPr>
          <w:lang w:val="fr-CA"/>
        </w:rPr>
        <w:t>Thèmes communs (SSE et sites autres que les SSE)</w:t>
      </w:r>
    </w:p>
    <w:p w14:paraId="2B8C3D62" w14:textId="77777777" w:rsidR="009A59C5" w:rsidRPr="009A59C5" w:rsidRDefault="009A59C5" w:rsidP="009A59C5">
      <w:pPr>
        <w:pStyle w:val="BodyText"/>
        <w:rPr>
          <w:lang w:val="fr-CA"/>
        </w:rPr>
      </w:pPr>
    </w:p>
    <w:p w14:paraId="238AE8C2" w14:textId="444FED72" w:rsidR="006D6CC6" w:rsidRPr="004A6106" w:rsidRDefault="0023696C" w:rsidP="00BD10E9">
      <w:pPr>
        <w:pStyle w:val="Heading3"/>
        <w:rPr>
          <w:lang w:val="fr-CA"/>
        </w:rPr>
      </w:pPr>
      <w:r w:rsidRPr="004A6106">
        <w:rPr>
          <w:lang w:val="fr-CA"/>
        </w:rPr>
        <w:t>Cybersécurité et protection des renseignements de nature délicate (articles 16 et 17)</w:t>
      </w:r>
    </w:p>
    <w:p w14:paraId="5A0036D5" w14:textId="554473DA" w:rsidR="00CC46AF" w:rsidRDefault="00CB557E" w:rsidP="00BD10E9">
      <w:pPr>
        <w:pStyle w:val="BodyText"/>
        <w:ind w:left="0"/>
        <w:rPr>
          <w:lang w:val="fr-CA"/>
        </w:rPr>
      </w:pPr>
      <w:r w:rsidRPr="004A6106">
        <w:rPr>
          <w:lang w:val="fr-CA"/>
        </w:rPr>
        <w:t>Des participants ont fait part d’une certaine inquiétude concernant les points précis énumérés aux alinéas 16(2)a) à e), puisqu’ils pourraient ne pas être applicables ou utiles pour certaines installations</w:t>
      </w:r>
      <w:r w:rsidRPr="004A6106">
        <w:rPr>
          <w:rStyle w:val="FootnoteReference"/>
          <w:lang w:val="fr-CA"/>
        </w:rPr>
        <w:footnoteReference w:id="4"/>
      </w:r>
      <w:r w:rsidRPr="004A6106">
        <w:rPr>
          <w:lang w:val="fr-CA"/>
        </w:rPr>
        <w:t xml:space="preserve">. </w:t>
      </w:r>
      <w:r w:rsidR="00B87EF5" w:rsidRPr="004A6106">
        <w:rPr>
          <w:lang w:val="fr-CA"/>
        </w:rPr>
        <w:t xml:space="preserve">Des participants se sont </w:t>
      </w:r>
      <w:proofErr w:type="gramStart"/>
      <w:r w:rsidR="00B87EF5" w:rsidRPr="004A6106">
        <w:rPr>
          <w:lang w:val="fr-CA"/>
        </w:rPr>
        <w:t>dits</w:t>
      </w:r>
      <w:proofErr w:type="gramEnd"/>
      <w:r w:rsidR="00B87EF5" w:rsidRPr="004A6106">
        <w:rPr>
          <w:lang w:val="fr-CA"/>
        </w:rPr>
        <w:t xml:space="preserve"> favorables à un déplacement des alinéas 16(2)a) à e)</w:t>
      </w:r>
      <w:r w:rsidRPr="004A6106">
        <w:rPr>
          <w:rStyle w:val="FootnoteReference"/>
          <w:lang w:val="fr-CA"/>
        </w:rPr>
        <w:footnoteReference w:id="5"/>
      </w:r>
      <w:r w:rsidR="00B87EF5" w:rsidRPr="004A6106">
        <w:rPr>
          <w:lang w:val="fr-CA"/>
        </w:rPr>
        <w:t xml:space="preserve"> dans les REGDOC, où </w:t>
      </w:r>
    </w:p>
    <w:p w14:paraId="2310172C" w14:textId="7F5422F8" w:rsidR="006D6CC6" w:rsidRPr="004A6106" w:rsidRDefault="00B87EF5" w:rsidP="00BD10E9">
      <w:pPr>
        <w:pStyle w:val="BodyText"/>
        <w:ind w:left="0"/>
        <w:rPr>
          <w:i/>
          <w:iCs/>
          <w:lang w:val="fr-CA"/>
        </w:rPr>
      </w:pPr>
      <w:proofErr w:type="gramStart"/>
      <w:r w:rsidRPr="004A6106">
        <w:rPr>
          <w:lang w:val="fr-CA"/>
        </w:rPr>
        <w:lastRenderedPageBreak/>
        <w:t>ils</w:t>
      </w:r>
      <w:proofErr w:type="gramEnd"/>
      <w:r w:rsidRPr="004A6106">
        <w:rPr>
          <w:lang w:val="fr-CA"/>
        </w:rPr>
        <w:t xml:space="preserve"> pourraient être décrits de façon plus détaillée et où il serait possible de fournir </w:t>
      </w:r>
      <w:r w:rsidR="006820DA" w:rsidRPr="004A6106">
        <w:rPr>
          <w:lang w:val="fr-CA"/>
        </w:rPr>
        <w:t>une orientation</w:t>
      </w:r>
      <w:r w:rsidRPr="004A6106">
        <w:rPr>
          <w:lang w:val="fr-CA"/>
        </w:rPr>
        <w:t xml:space="preserve"> supplémentair</w:t>
      </w:r>
      <w:r w:rsidR="006820DA" w:rsidRPr="004A6106">
        <w:rPr>
          <w:lang w:val="fr-CA"/>
        </w:rPr>
        <w:t>e</w:t>
      </w:r>
      <w:r w:rsidRPr="004A6106">
        <w:rPr>
          <w:lang w:val="fr-CA"/>
        </w:rPr>
        <w:t xml:space="preserve"> concernant les dispositions en matière de cybersécurité, le cas échéant.</w:t>
      </w:r>
      <w:r w:rsidR="00CB557E" w:rsidRPr="004A6106">
        <w:rPr>
          <w:lang w:val="fr-CA"/>
        </w:rPr>
        <w:t xml:space="preserve"> </w:t>
      </w:r>
      <w:r w:rsidR="00477807" w:rsidRPr="004A6106">
        <w:rPr>
          <w:lang w:val="fr-CA"/>
        </w:rPr>
        <w:t xml:space="preserve">Les participants ont aussi indiqué qu’il pourrait y avoir un chevauchement ou un dédoublement de ces dispositions par rapport aux dispositions du </w:t>
      </w:r>
      <w:hyperlink r:id="rId13" w:history="1">
        <w:r w:rsidR="00477807" w:rsidRPr="004A6106">
          <w:rPr>
            <w:rStyle w:val="Hyperlink"/>
            <w:lang w:val="fr-CA"/>
          </w:rPr>
          <w:t xml:space="preserve">Projet de loi C‑26, </w:t>
        </w:r>
        <w:r w:rsidR="00477807" w:rsidRPr="004A6106">
          <w:rPr>
            <w:rStyle w:val="Hyperlink"/>
            <w:i/>
            <w:iCs/>
            <w:lang w:val="fr-CA"/>
          </w:rPr>
          <w:t>Loi concernant la cybersécurité, modifiant la Loi sur les télécommunications et apportant des modifications corrélatives à d’autres lois</w:t>
        </w:r>
      </w:hyperlink>
      <w:r w:rsidR="00477807" w:rsidRPr="004A6106">
        <w:rPr>
          <w:lang w:val="fr-CA"/>
        </w:rPr>
        <w:t>.</w:t>
      </w:r>
    </w:p>
    <w:p w14:paraId="3B55AB68" w14:textId="78A5E4F7" w:rsidR="006D6CC6" w:rsidRPr="004A6106" w:rsidRDefault="008414FB" w:rsidP="00BD10E9">
      <w:pPr>
        <w:pStyle w:val="BodyText"/>
        <w:ind w:left="0"/>
        <w:rPr>
          <w:lang w:val="fr-CA"/>
        </w:rPr>
      </w:pPr>
      <w:r w:rsidRPr="004A6106">
        <w:rPr>
          <w:lang w:val="fr-CA"/>
        </w:rPr>
        <w:t>La principale source de préoccupation des participants était liée à la définition proposée pour les renseignements de nature délicate, qui selon eux n’</w:t>
      </w:r>
      <w:r w:rsidR="00AE7D3B">
        <w:rPr>
          <w:lang w:val="fr-CA"/>
        </w:rPr>
        <w:t>est</w:t>
      </w:r>
      <w:r w:rsidRPr="004A6106">
        <w:rPr>
          <w:lang w:val="fr-CA"/>
        </w:rPr>
        <w:t xml:space="preserve"> pas claire, trop générale et pou</w:t>
      </w:r>
      <w:r w:rsidR="00AE7D3B">
        <w:rPr>
          <w:lang w:val="fr-CA"/>
        </w:rPr>
        <w:t>rr</w:t>
      </w:r>
      <w:r w:rsidRPr="004A6106">
        <w:rPr>
          <w:lang w:val="fr-CA"/>
        </w:rPr>
        <w:t xml:space="preserve">ait inclure une grande quantité de renseignements variés. </w:t>
      </w:r>
      <w:r w:rsidR="00120BE4" w:rsidRPr="004A6106">
        <w:rPr>
          <w:lang w:val="fr-CA"/>
        </w:rPr>
        <w:t xml:space="preserve">Les participants se sont aussi </w:t>
      </w:r>
      <w:proofErr w:type="gramStart"/>
      <w:r w:rsidR="00120BE4" w:rsidRPr="004A6106">
        <w:rPr>
          <w:lang w:val="fr-CA"/>
        </w:rPr>
        <w:t>dits</w:t>
      </w:r>
      <w:proofErr w:type="gramEnd"/>
      <w:r w:rsidR="00120BE4" w:rsidRPr="004A6106">
        <w:rPr>
          <w:lang w:val="fr-CA"/>
        </w:rPr>
        <w:t xml:space="preserve"> préoccupés par les possibles divergences d’opinions quant aux renseignements exacts qui seraient visés par cette nouvelle définition.</w:t>
      </w:r>
      <w:r w:rsidRPr="004A6106">
        <w:rPr>
          <w:lang w:val="fr-CA"/>
        </w:rPr>
        <w:t xml:space="preserve"> </w:t>
      </w:r>
      <w:r w:rsidR="00A542ED" w:rsidRPr="004A6106">
        <w:rPr>
          <w:lang w:val="fr-CA"/>
        </w:rPr>
        <w:t>Les participants ont discuté de plusieurs suggestions, y compris de conserver la définition actuelle des renseignements réglementés</w:t>
      </w:r>
      <w:r w:rsidRPr="004A6106">
        <w:rPr>
          <w:rStyle w:val="FootnoteReference"/>
          <w:lang w:val="fr-CA"/>
        </w:rPr>
        <w:footnoteReference w:id="6"/>
      </w:r>
      <w:r w:rsidR="00A542ED" w:rsidRPr="004A6106">
        <w:rPr>
          <w:lang w:val="fr-CA"/>
        </w:rPr>
        <w:t xml:space="preserve"> ou de revoir la proposition afin que les renseignements de nature délicate soient </w:t>
      </w:r>
      <w:r w:rsidR="00B26A31">
        <w:rPr>
          <w:lang w:val="fr-CA"/>
        </w:rPr>
        <w:t>indiqués</w:t>
      </w:r>
      <w:r w:rsidR="00A542ED" w:rsidRPr="004A6106">
        <w:rPr>
          <w:lang w:val="fr-CA"/>
        </w:rPr>
        <w:t xml:space="preserve"> dans les évaluations des menaces et des risques (EMR) des titulaires de permis.</w:t>
      </w:r>
      <w:r w:rsidRPr="004A6106">
        <w:rPr>
          <w:lang w:val="fr-CA"/>
        </w:rPr>
        <w:t xml:space="preserve">   </w:t>
      </w:r>
    </w:p>
    <w:p w14:paraId="609D8600" w14:textId="35A5A4D1" w:rsidR="006D6CC6" w:rsidRPr="004A6106" w:rsidRDefault="00212051" w:rsidP="00BD10E9">
      <w:pPr>
        <w:pStyle w:val="BodyText"/>
        <w:ind w:left="0"/>
        <w:rPr>
          <w:lang w:val="fr-CA"/>
        </w:rPr>
      </w:pPr>
      <w:r w:rsidRPr="004A6106">
        <w:rPr>
          <w:lang w:val="fr-CA"/>
        </w:rPr>
        <w:t>Les participants ont été informés que la définition de renseignements de nature délicate dans le règlement proposé est fondée sur la définition de l’Agence internationale de l</w:t>
      </w:r>
      <w:r w:rsidR="004610F9" w:rsidRPr="004A6106">
        <w:rPr>
          <w:lang w:val="fr-CA"/>
        </w:rPr>
        <w:t>’</w:t>
      </w:r>
      <w:r w:rsidRPr="004A6106">
        <w:rPr>
          <w:lang w:val="fr-CA"/>
        </w:rPr>
        <w:t>énergie atomique (AIEA)</w:t>
      </w:r>
      <w:r w:rsidRPr="004A6106">
        <w:rPr>
          <w:rStyle w:val="FootnoteReference"/>
          <w:lang w:val="fr-CA"/>
        </w:rPr>
        <w:footnoteReference w:id="7"/>
      </w:r>
      <w:r w:rsidRPr="004A6106">
        <w:rPr>
          <w:lang w:val="fr-CA"/>
        </w:rPr>
        <w:t xml:space="preserve"> et qu’elle est nécessaire pour protéger tous les renseignements importants liés à la sécurité nucléaire</w:t>
      </w:r>
      <w:r w:rsidRPr="004A6106">
        <w:rPr>
          <w:rStyle w:val="FootnoteReference"/>
          <w:lang w:val="fr-CA"/>
        </w:rPr>
        <w:footnoteReference w:id="8"/>
      </w:r>
      <w:r w:rsidRPr="004A6106">
        <w:rPr>
          <w:lang w:val="fr-CA"/>
        </w:rPr>
        <w:t xml:space="preserve">, y compris, sans s’y limiter, les renseignements réglementés. </w:t>
      </w:r>
      <w:r w:rsidR="00AE4779" w:rsidRPr="004A6106">
        <w:rPr>
          <w:lang w:val="fr-CA"/>
        </w:rPr>
        <w:t>Les participants ont discuté du fait que le règlement a pour but de préciser les exigences de haut niveau axées sur le rendement qui seraient appliquées au moyen d’une approche tenant compte du risque</w:t>
      </w:r>
      <w:r w:rsidRPr="004A6106">
        <w:rPr>
          <w:rStyle w:val="FootnoteReference"/>
          <w:lang w:val="fr-CA"/>
        </w:rPr>
        <w:footnoteReference w:id="9"/>
      </w:r>
      <w:r w:rsidR="00AE4779" w:rsidRPr="004A6106">
        <w:rPr>
          <w:lang w:val="fr-CA"/>
        </w:rPr>
        <w:t xml:space="preserve">, et que les REGDOC et les normes actuelles fourniraient des précisions ainsi que des </w:t>
      </w:r>
      <w:r w:rsidR="0018313E" w:rsidRPr="004A6106">
        <w:rPr>
          <w:lang w:val="fr-CA"/>
        </w:rPr>
        <w:t>orientations</w:t>
      </w:r>
      <w:r w:rsidR="00AE4779" w:rsidRPr="004A6106">
        <w:rPr>
          <w:lang w:val="fr-CA"/>
        </w:rPr>
        <w:t xml:space="preserve"> supplémentaires afin de se conformer au règlement.</w:t>
      </w:r>
      <w:r w:rsidRPr="004A6106">
        <w:rPr>
          <w:lang w:val="fr-CA"/>
        </w:rPr>
        <w:t xml:space="preserve"> </w:t>
      </w:r>
      <w:r w:rsidR="009224A3" w:rsidRPr="004A6106">
        <w:rPr>
          <w:lang w:val="fr-CA"/>
        </w:rPr>
        <w:t xml:space="preserve">Des participants ont aussi affirmé qu’après son acceptation, l’EMR deviendrait le fondement du programme de sécurité de l’installation et que des activités de vérification de la conformité de la CCSN (pour la cybersécurité et la protection des renseignements de nature délicate) seraient mises en </w:t>
      </w:r>
      <w:r w:rsidR="004610F9" w:rsidRPr="004A6106">
        <w:rPr>
          <w:lang w:val="fr-CA"/>
        </w:rPr>
        <w:t>œ</w:t>
      </w:r>
      <w:r w:rsidR="009224A3" w:rsidRPr="004A6106">
        <w:rPr>
          <w:lang w:val="fr-CA"/>
        </w:rPr>
        <w:t>uvre relativement à ce programme</w:t>
      </w:r>
      <w:r w:rsidR="00442986" w:rsidRPr="004A6106">
        <w:rPr>
          <w:rStyle w:val="FootnoteReference"/>
          <w:lang w:val="fr-CA"/>
        </w:rPr>
        <w:footnoteReference w:id="10"/>
      </w:r>
      <w:r w:rsidR="009224A3" w:rsidRPr="004A6106">
        <w:rPr>
          <w:lang w:val="fr-CA"/>
        </w:rPr>
        <w:t>.</w:t>
      </w:r>
      <w:r w:rsidRPr="004A6106">
        <w:rPr>
          <w:lang w:val="fr-CA"/>
        </w:rPr>
        <w:t xml:space="preserve"> </w:t>
      </w:r>
    </w:p>
    <w:p w14:paraId="162AAA4F" w14:textId="0ABE4A94" w:rsidR="006D6CC6" w:rsidRDefault="00442986" w:rsidP="00BD10E9">
      <w:pPr>
        <w:pStyle w:val="BodyText"/>
        <w:ind w:left="0"/>
        <w:rPr>
          <w:lang w:val="fr-CA"/>
        </w:rPr>
      </w:pPr>
      <w:r w:rsidRPr="004A6106">
        <w:rPr>
          <w:lang w:val="fr-CA"/>
        </w:rPr>
        <w:t xml:space="preserve">Les exigences proposées dans le RSN 2023 seront examinées en tenant compte des discussions avec les participants à l’atelier et de leurs commentaires. </w:t>
      </w:r>
      <w:r w:rsidR="00754230" w:rsidRPr="004A6106">
        <w:rPr>
          <w:lang w:val="fr-CA"/>
        </w:rPr>
        <w:t>De plus, le contenu des REGDOC révisés sera examiné pour s’assurer qu’il contien</w:t>
      </w:r>
      <w:r w:rsidR="00B26A31">
        <w:rPr>
          <w:lang w:val="fr-CA"/>
        </w:rPr>
        <w:t>t</w:t>
      </w:r>
      <w:r w:rsidR="00754230" w:rsidRPr="004A6106">
        <w:rPr>
          <w:lang w:val="fr-CA"/>
        </w:rPr>
        <w:t xml:space="preserve"> les orientations </w:t>
      </w:r>
      <w:r w:rsidR="0018313E" w:rsidRPr="004A6106">
        <w:rPr>
          <w:lang w:val="fr-CA"/>
        </w:rPr>
        <w:t>permettant de</w:t>
      </w:r>
      <w:r w:rsidR="00754230" w:rsidRPr="004A6106">
        <w:rPr>
          <w:lang w:val="fr-CA"/>
        </w:rPr>
        <w:t xml:space="preserve"> se conformer aux dispositions proposées.</w:t>
      </w:r>
      <w:r w:rsidRPr="004A6106">
        <w:rPr>
          <w:lang w:val="fr-CA"/>
        </w:rPr>
        <w:t xml:space="preserve"> </w:t>
      </w:r>
      <w:r w:rsidR="00A40A25" w:rsidRPr="004A6106">
        <w:rPr>
          <w:lang w:val="fr-CA"/>
        </w:rPr>
        <w:t>Une orientation préliminaire sur des cadres de classification des renseignements de nature délicate a été présentée dans le document de travail de la CCSN</w:t>
      </w:r>
      <w:r w:rsidR="004610F9" w:rsidRPr="004A6106">
        <w:rPr>
          <w:lang w:val="fr-CA"/>
        </w:rPr>
        <w:t> </w:t>
      </w:r>
      <w:hyperlink r:id="rId14" w:history="1">
        <w:r w:rsidR="00A40A25" w:rsidRPr="004A6106">
          <w:rPr>
            <w:rStyle w:val="Hyperlink"/>
            <w:lang w:val="fr-CA"/>
          </w:rPr>
          <w:t xml:space="preserve">DIS-21-03, </w:t>
        </w:r>
        <w:r w:rsidR="00A40A25" w:rsidRPr="004A6106">
          <w:rPr>
            <w:rStyle w:val="Hyperlink"/>
            <w:i/>
            <w:iCs/>
            <w:lang w:val="fr-CA"/>
          </w:rPr>
          <w:t>Cybersécurité et protection des informations numériques</w:t>
        </w:r>
      </w:hyperlink>
      <w:r w:rsidR="00A40A25" w:rsidRPr="004A6106">
        <w:rPr>
          <w:lang w:val="fr-CA"/>
        </w:rPr>
        <w:t>.</w:t>
      </w:r>
    </w:p>
    <w:p w14:paraId="072C6A80" w14:textId="77777777" w:rsidR="00CC46AF" w:rsidRDefault="00CC46AF" w:rsidP="00BD10E9">
      <w:pPr>
        <w:pStyle w:val="BodyText"/>
        <w:ind w:left="0"/>
        <w:rPr>
          <w:lang w:val="fr-CA"/>
        </w:rPr>
      </w:pPr>
    </w:p>
    <w:p w14:paraId="56723563" w14:textId="1709AA60" w:rsidR="006D6CC6" w:rsidRPr="004A6106" w:rsidRDefault="00D30BD1" w:rsidP="00BD10E9">
      <w:pPr>
        <w:pStyle w:val="Heading3"/>
        <w:rPr>
          <w:lang w:val="fr-CA"/>
        </w:rPr>
      </w:pPr>
      <w:r w:rsidRPr="004A6106">
        <w:rPr>
          <w:lang w:val="fr-CA"/>
        </w:rPr>
        <w:lastRenderedPageBreak/>
        <w:t>Entreposage des substances nucléaires (article 22)</w:t>
      </w:r>
    </w:p>
    <w:p w14:paraId="08EAAF2C" w14:textId="77777777" w:rsidR="00CC46AF" w:rsidRDefault="00B428A3" w:rsidP="00BD10E9">
      <w:pPr>
        <w:pStyle w:val="BodyText"/>
        <w:ind w:left="0"/>
        <w:rPr>
          <w:lang w:val="fr-CA"/>
        </w:rPr>
      </w:pPr>
      <w:r w:rsidRPr="004A6106">
        <w:rPr>
          <w:lang w:val="fr-CA"/>
        </w:rPr>
        <w:t xml:space="preserve">Des participants ont soulevé plusieurs préoccupations concernant cette exigence proposée, affirmant qu’elle est trop normative et qu’elle entraînerait des conséquences opérationnelles et des coûts importants. </w:t>
      </w:r>
      <w:r w:rsidR="00BA7291" w:rsidRPr="004A6106">
        <w:rPr>
          <w:lang w:val="fr-CA"/>
        </w:rPr>
        <w:t xml:space="preserve">En outre, la disposition concernant l’équipement au paragraphe 22(2) ne serait pas efficace pour détecter </w:t>
      </w:r>
    </w:p>
    <w:p w14:paraId="7676F825" w14:textId="6D9504EB" w:rsidR="006D6CC6" w:rsidRPr="004A6106" w:rsidRDefault="00BA7291" w:rsidP="00BD10E9">
      <w:pPr>
        <w:pStyle w:val="BodyText"/>
        <w:ind w:left="0"/>
        <w:rPr>
          <w:lang w:val="fr-CA"/>
        </w:rPr>
      </w:pPr>
      <w:proofErr w:type="gramStart"/>
      <w:r w:rsidRPr="004A6106">
        <w:rPr>
          <w:lang w:val="fr-CA"/>
        </w:rPr>
        <w:t>certaines</w:t>
      </w:r>
      <w:proofErr w:type="gramEnd"/>
      <w:r w:rsidRPr="004A6106">
        <w:rPr>
          <w:lang w:val="fr-CA"/>
        </w:rPr>
        <w:t xml:space="preserve"> substances au moyen d’équipement. Des participants ont proposé d’utiliser des contrôles administratifs ou des processus.</w:t>
      </w:r>
      <w:r w:rsidR="00B428A3" w:rsidRPr="004A6106">
        <w:rPr>
          <w:lang w:val="fr-CA"/>
        </w:rPr>
        <w:t xml:space="preserve"> </w:t>
      </w:r>
      <w:r w:rsidR="00BC4C5C" w:rsidRPr="004A6106">
        <w:rPr>
          <w:lang w:val="fr-CA"/>
        </w:rPr>
        <w:t xml:space="preserve">Les participants ont demandé des précisions concernant l’autorisation </w:t>
      </w:r>
      <w:r w:rsidR="00B26A31">
        <w:rPr>
          <w:lang w:val="fr-CA"/>
        </w:rPr>
        <w:t xml:space="preserve">à </w:t>
      </w:r>
      <w:proofErr w:type="gramStart"/>
      <w:r w:rsidR="00B26A31">
        <w:rPr>
          <w:lang w:val="fr-CA"/>
        </w:rPr>
        <w:t>deux facteurs</w:t>
      </w:r>
      <w:r w:rsidR="00BC4C5C" w:rsidRPr="004A6106">
        <w:rPr>
          <w:lang w:val="fr-CA"/>
        </w:rPr>
        <w:t xml:space="preserve"> </w:t>
      </w:r>
      <w:r w:rsidR="00A554F4" w:rsidRPr="004A6106">
        <w:rPr>
          <w:lang w:val="fr-CA"/>
        </w:rPr>
        <w:t>exigée</w:t>
      </w:r>
      <w:proofErr w:type="gramEnd"/>
      <w:r w:rsidR="00BC4C5C" w:rsidRPr="004A6106">
        <w:rPr>
          <w:lang w:val="fr-CA"/>
        </w:rPr>
        <w:t xml:space="preserve"> et ont indiqué qu’ils se conforment actuellement au programme Customs-Trade Partnership Against </w:t>
      </w:r>
      <w:proofErr w:type="spellStart"/>
      <w:r w:rsidR="00BC4C5C" w:rsidRPr="004A6106">
        <w:rPr>
          <w:lang w:val="fr-CA"/>
        </w:rPr>
        <w:t>Terrorism</w:t>
      </w:r>
      <w:proofErr w:type="spellEnd"/>
      <w:r w:rsidR="00BC4C5C" w:rsidRPr="004A6106">
        <w:rPr>
          <w:lang w:val="fr-CA"/>
        </w:rPr>
        <w:t xml:space="preserve"> (CTPAT)</w:t>
      </w:r>
      <w:r w:rsidR="008611A2" w:rsidRPr="004A6106">
        <w:rPr>
          <w:rStyle w:val="FootnoteReference"/>
          <w:lang w:val="fr-CA"/>
        </w:rPr>
        <w:footnoteReference w:id="11"/>
      </w:r>
      <w:r w:rsidR="00BC4C5C" w:rsidRPr="004A6106">
        <w:rPr>
          <w:lang w:val="fr-CA"/>
        </w:rPr>
        <w:t>.</w:t>
      </w:r>
    </w:p>
    <w:p w14:paraId="4D1A93D5" w14:textId="6FF2808C" w:rsidR="006D6CC6" w:rsidRPr="004A6106" w:rsidRDefault="007F0858" w:rsidP="00BD10E9">
      <w:pPr>
        <w:pStyle w:val="BodyText"/>
        <w:ind w:left="0"/>
        <w:rPr>
          <w:lang w:val="fr-CA"/>
        </w:rPr>
      </w:pPr>
      <w:r w:rsidRPr="004A6106">
        <w:rPr>
          <w:lang w:val="fr-CA"/>
        </w:rPr>
        <w:t>Des participants ont aussi affirmé que les barrières entourant les zones protégées et les autres mesures de sécurité devraient être reconnues pour assurer la sécurité des substances nucléaires entreposées, puisque les parties intéressées des SSE ont en place beaucoup plus de mesures de sécurité que les parties intéressées des sites autres que les SSE, et que l’exigence proposée devrait être plus souple afin qu’il soit possible de proposer d</w:t>
      </w:r>
      <w:r w:rsidR="00B26A31">
        <w:rPr>
          <w:lang w:val="fr-CA"/>
        </w:rPr>
        <w:t>es solutions de rechange</w:t>
      </w:r>
      <w:r w:rsidRPr="004A6106">
        <w:rPr>
          <w:lang w:val="fr-CA"/>
        </w:rPr>
        <w:t xml:space="preserve"> et d’utiliser une approche tenant compte du risque </w:t>
      </w:r>
      <w:r w:rsidR="0018313E" w:rsidRPr="004A6106">
        <w:rPr>
          <w:lang w:val="fr-CA"/>
        </w:rPr>
        <w:t>aux fins d’application</w:t>
      </w:r>
      <w:r w:rsidRPr="004A6106">
        <w:rPr>
          <w:lang w:val="fr-CA"/>
        </w:rPr>
        <w:t xml:space="preserve">. </w:t>
      </w:r>
      <w:r w:rsidR="00EE40D2" w:rsidRPr="004A6106">
        <w:rPr>
          <w:lang w:val="fr-CA"/>
        </w:rPr>
        <w:t>Les participants ont discuté des exigences</w:t>
      </w:r>
      <w:r w:rsidR="0018313E" w:rsidRPr="004A6106">
        <w:rPr>
          <w:lang w:val="fr-CA"/>
        </w:rPr>
        <w:t xml:space="preserve"> </w:t>
      </w:r>
      <w:r w:rsidR="00EE40D2" w:rsidRPr="004A6106">
        <w:rPr>
          <w:lang w:val="fr-CA"/>
        </w:rPr>
        <w:t xml:space="preserve">axées sur les résultats </w:t>
      </w:r>
      <w:r w:rsidR="0018313E" w:rsidRPr="004A6106">
        <w:rPr>
          <w:lang w:val="fr-CA"/>
        </w:rPr>
        <w:t xml:space="preserve">proposées </w:t>
      </w:r>
      <w:r w:rsidR="00EE40D2" w:rsidRPr="004A6106">
        <w:rPr>
          <w:lang w:val="fr-CA"/>
        </w:rPr>
        <w:t>en remplacement</w:t>
      </w:r>
      <w:r w:rsidR="00A554F4" w:rsidRPr="004A6106">
        <w:rPr>
          <w:lang w:val="fr-CA"/>
        </w:rPr>
        <w:t xml:space="preserve"> </w:t>
      </w:r>
      <w:r w:rsidR="00EE40D2" w:rsidRPr="004A6106">
        <w:rPr>
          <w:lang w:val="fr-CA"/>
        </w:rPr>
        <w:t>qui seront examinées et prises en considération après l’atelier.</w:t>
      </w:r>
    </w:p>
    <w:p w14:paraId="0FA63DE7" w14:textId="2E11004D" w:rsidR="006D6CC6" w:rsidRPr="004A6106" w:rsidRDefault="009023F2" w:rsidP="00BD10E9">
      <w:pPr>
        <w:pStyle w:val="BodyText"/>
        <w:ind w:left="0"/>
        <w:rPr>
          <w:lang w:val="fr-CA"/>
        </w:rPr>
      </w:pPr>
      <w:r w:rsidRPr="004A6106">
        <w:rPr>
          <w:lang w:val="fr-CA"/>
        </w:rPr>
        <w:t xml:space="preserve">L’exigence proposée avait pour objectif d’appliquer une approche normalisée à la sécurité des substances nucléaires dans toutes les installations visées. </w:t>
      </w:r>
      <w:r w:rsidR="008E3B63" w:rsidRPr="004A6106">
        <w:rPr>
          <w:lang w:val="fr-CA"/>
        </w:rPr>
        <w:t>Les renseignements fournis par les parties intéressées seront examinés pour déterminer si d’autres modifications doivent être apportées à l’exigence proposée et pour déterminer l’orientation appropriée pour le</w:t>
      </w:r>
      <w:r w:rsidR="00A554F4" w:rsidRPr="004A6106">
        <w:rPr>
          <w:lang w:val="fr-CA"/>
        </w:rPr>
        <w:t>s</w:t>
      </w:r>
      <w:r w:rsidR="008E3B63" w:rsidRPr="004A6106">
        <w:rPr>
          <w:lang w:val="fr-CA"/>
        </w:rPr>
        <w:t xml:space="preserve"> REGDOC révisé</w:t>
      </w:r>
      <w:r w:rsidR="00A554F4" w:rsidRPr="004A6106">
        <w:rPr>
          <w:lang w:val="fr-CA"/>
        </w:rPr>
        <w:t>s</w:t>
      </w:r>
      <w:r w:rsidR="008E3B63" w:rsidRPr="004A6106">
        <w:rPr>
          <w:lang w:val="fr-CA"/>
        </w:rPr>
        <w:t>.</w:t>
      </w:r>
      <w:r w:rsidRPr="004A6106">
        <w:rPr>
          <w:lang w:val="fr-CA"/>
        </w:rPr>
        <w:t xml:space="preserve"> </w:t>
      </w:r>
    </w:p>
    <w:p w14:paraId="0CA43B0B" w14:textId="40A05F81" w:rsidR="006D6CC6" w:rsidRPr="004A6106" w:rsidRDefault="005B3493" w:rsidP="00BD10E9">
      <w:pPr>
        <w:pStyle w:val="Heading3"/>
        <w:rPr>
          <w:lang w:val="fr-CA"/>
        </w:rPr>
      </w:pPr>
      <w:r w:rsidRPr="004A6106">
        <w:rPr>
          <w:lang w:val="fr-CA"/>
        </w:rPr>
        <w:t>Exercices de sécurité et exercices de sécurité du transport (articles 15, 47 à 49, 116)</w:t>
      </w:r>
    </w:p>
    <w:p w14:paraId="1379C8A0" w14:textId="7F5E5C04" w:rsidR="006D6CC6" w:rsidRPr="004A6106" w:rsidRDefault="00A554F4" w:rsidP="00BD10E9">
      <w:pPr>
        <w:pStyle w:val="BodyText"/>
        <w:ind w:left="0"/>
        <w:rPr>
          <w:lang w:val="fr-CA"/>
        </w:rPr>
      </w:pPr>
      <w:r w:rsidRPr="004A6106">
        <w:rPr>
          <w:lang w:val="fr-CA"/>
        </w:rPr>
        <w:t>D</w:t>
      </w:r>
      <w:r w:rsidR="003B18A0" w:rsidRPr="004A6106">
        <w:rPr>
          <w:lang w:val="fr-CA"/>
        </w:rPr>
        <w:t xml:space="preserve">es participants ont souligné que les délais proposés pour les exercices de sécurité sont normatifs et ont recommandé une plus grande souplesse pour les harmoniser </w:t>
      </w:r>
      <w:r w:rsidR="00C4414A">
        <w:rPr>
          <w:lang w:val="fr-CA"/>
        </w:rPr>
        <w:t>avec les</w:t>
      </w:r>
      <w:r w:rsidR="003B18A0" w:rsidRPr="004A6106">
        <w:rPr>
          <w:lang w:val="fr-CA"/>
        </w:rPr>
        <w:t xml:space="preserve"> programmes existants des titulaires de permis.</w:t>
      </w:r>
      <w:r w:rsidRPr="004A6106">
        <w:rPr>
          <w:lang w:val="fr-CA"/>
        </w:rPr>
        <w:t xml:space="preserve"> </w:t>
      </w:r>
      <w:r w:rsidR="007E77EA" w:rsidRPr="004A6106">
        <w:rPr>
          <w:lang w:val="fr-CA"/>
        </w:rPr>
        <w:t>Il a été confirmé que ces entraînements et exercices pourraient concerner la sécurité, la cybersécurité ou les deux.</w:t>
      </w:r>
      <w:r w:rsidRPr="004A6106">
        <w:rPr>
          <w:lang w:val="fr-CA"/>
        </w:rPr>
        <w:t xml:space="preserve"> </w:t>
      </w:r>
      <w:r w:rsidR="007B2C5E" w:rsidRPr="004A6106">
        <w:rPr>
          <w:lang w:val="fr-CA"/>
        </w:rPr>
        <w:t>En ce qui concerne les exercices de sécurité du transport, les parties intéressées ont indiqué que les permis de transport sont généralement délivré</w:t>
      </w:r>
      <w:r w:rsidR="005252D1" w:rsidRPr="004A6106">
        <w:rPr>
          <w:lang w:val="fr-CA"/>
        </w:rPr>
        <w:t>s</w:t>
      </w:r>
      <w:r w:rsidR="007B2C5E" w:rsidRPr="004A6106">
        <w:rPr>
          <w:lang w:val="fr-CA"/>
        </w:rPr>
        <w:t xml:space="preserve"> pour de courtes périodes et que le permis peut donc expirer avant d’atteindre le seuil de </w:t>
      </w:r>
      <w:proofErr w:type="gramStart"/>
      <w:r w:rsidR="007B2C5E" w:rsidRPr="004A6106">
        <w:rPr>
          <w:lang w:val="fr-CA"/>
        </w:rPr>
        <w:t>cinq ans exigé</w:t>
      </w:r>
      <w:proofErr w:type="gramEnd"/>
      <w:r w:rsidR="007B2C5E" w:rsidRPr="004A6106">
        <w:rPr>
          <w:lang w:val="fr-CA"/>
        </w:rPr>
        <w:t xml:space="preserve"> pour ces exercices.</w:t>
      </w:r>
      <w:r w:rsidRPr="004A6106">
        <w:rPr>
          <w:lang w:val="fr-CA"/>
        </w:rPr>
        <w:t xml:space="preserve"> </w:t>
      </w:r>
    </w:p>
    <w:p w14:paraId="42125B5F" w14:textId="3602D52A" w:rsidR="006D6CC6" w:rsidRDefault="00F572D7" w:rsidP="00BD10E9">
      <w:pPr>
        <w:pStyle w:val="BodyText"/>
        <w:ind w:left="0"/>
        <w:rPr>
          <w:lang w:val="fr-CA"/>
        </w:rPr>
      </w:pPr>
      <w:r w:rsidRPr="004A6106">
        <w:rPr>
          <w:lang w:val="fr-CA"/>
        </w:rPr>
        <w:t>Les exigences proposées pour les exercices de sécurité seront examiné</w:t>
      </w:r>
      <w:r w:rsidR="005C5990" w:rsidRPr="004A6106">
        <w:rPr>
          <w:lang w:val="fr-CA"/>
        </w:rPr>
        <w:t>e</w:t>
      </w:r>
      <w:r w:rsidRPr="004A6106">
        <w:rPr>
          <w:lang w:val="fr-CA"/>
        </w:rPr>
        <w:t xml:space="preserve">s pour confirmer si elles sont adaptées à l’objectif fixé et une orientation supplémentaire en ce qui a trait aux exercices (sécurité physique, cybersécurité, les deux) sera ajoutée dans les REGDOC révisés.  </w:t>
      </w:r>
    </w:p>
    <w:p w14:paraId="189E1671" w14:textId="77777777" w:rsidR="00CC46AF" w:rsidRPr="004A6106" w:rsidRDefault="00CC46AF" w:rsidP="00BD10E9">
      <w:pPr>
        <w:pStyle w:val="BodyText"/>
        <w:ind w:left="0"/>
        <w:rPr>
          <w:lang w:val="fr-CA"/>
        </w:rPr>
      </w:pPr>
    </w:p>
    <w:p w14:paraId="4A804E5E" w14:textId="6DC82C9A" w:rsidR="006D6CC6" w:rsidRPr="004A6106" w:rsidRDefault="00C95248" w:rsidP="00BD10E9">
      <w:pPr>
        <w:pStyle w:val="Heading3"/>
        <w:rPr>
          <w:lang w:val="fr-CA"/>
        </w:rPr>
      </w:pPr>
      <w:r w:rsidRPr="004A6106">
        <w:rPr>
          <w:lang w:val="fr-CA"/>
        </w:rPr>
        <w:t>Sécurité du transport des matières nucléaires (partie III – Nouvelle proposition)</w:t>
      </w:r>
    </w:p>
    <w:p w14:paraId="374B5739" w14:textId="011907FA" w:rsidR="006D6CC6" w:rsidRPr="004A6106" w:rsidRDefault="00D27F70" w:rsidP="00BD10E9">
      <w:pPr>
        <w:pStyle w:val="BodyText"/>
        <w:ind w:left="0"/>
        <w:rPr>
          <w:lang w:val="fr-CA"/>
        </w:rPr>
      </w:pPr>
      <w:r w:rsidRPr="004A6106">
        <w:rPr>
          <w:lang w:val="fr-CA"/>
        </w:rPr>
        <w:t xml:space="preserve">En réponse aux commentaires formulés par les membres du public concernant la clarification et le renforcement des dispositions liées au transport des matières nucléaires de catégorie I, II et III, la CCSN propose d’intégrer par renvoi </w:t>
      </w:r>
      <w:r w:rsidR="00C4414A">
        <w:rPr>
          <w:lang w:val="fr-CA"/>
        </w:rPr>
        <w:t>dans le</w:t>
      </w:r>
      <w:r w:rsidR="0018313E" w:rsidRPr="004A6106">
        <w:rPr>
          <w:lang w:val="fr-CA"/>
        </w:rPr>
        <w:t xml:space="preserve"> RSN 2023 proposé </w:t>
      </w:r>
      <w:r w:rsidRPr="004A6106">
        <w:rPr>
          <w:lang w:val="fr-CA"/>
        </w:rPr>
        <w:t xml:space="preserve">l’article 6 sur les recommandations en matière de sécurité du transport de la </w:t>
      </w:r>
      <w:hyperlink r:id="rId15" w:history="1">
        <w:r w:rsidRPr="004A6106">
          <w:rPr>
            <w:rStyle w:val="Hyperlink"/>
            <w:i/>
            <w:iCs/>
            <w:lang w:val="fr-CA"/>
          </w:rPr>
          <w:t>Convention sur la protection physique des matières nucléaires</w:t>
        </w:r>
      </w:hyperlink>
      <w:r w:rsidRPr="004A6106">
        <w:rPr>
          <w:lang w:val="fr-CA"/>
        </w:rPr>
        <w:t xml:space="preserve"> (CPPMN) de l’AIEA. </w:t>
      </w:r>
      <w:r w:rsidR="00E54B37" w:rsidRPr="004A6106">
        <w:rPr>
          <w:lang w:val="fr-CA"/>
        </w:rPr>
        <w:t>La CCSN propose aussi d’intégrer par renvoi dans les REGDOC sur la sécurité l</w:t>
      </w:r>
      <w:r w:rsidR="00F73431">
        <w:rPr>
          <w:lang w:val="fr-CA"/>
        </w:rPr>
        <w:t>a</w:t>
      </w:r>
      <w:r w:rsidR="00E54B37" w:rsidRPr="004A6106">
        <w:rPr>
          <w:lang w:val="fr-CA"/>
        </w:rPr>
        <w:t xml:space="preserve"> </w:t>
      </w:r>
      <w:hyperlink r:id="rId16" w:history="1">
        <w:r w:rsidR="00F73431" w:rsidRPr="00F73431">
          <w:rPr>
            <w:rStyle w:val="Hyperlink"/>
            <w:lang w:val="fr-CA"/>
          </w:rPr>
          <w:t>Collection Sécurité nucléaire (CSN)</w:t>
        </w:r>
        <w:r w:rsidR="00F73431">
          <w:rPr>
            <w:rStyle w:val="Hyperlink"/>
            <w:lang w:val="fr-CA"/>
          </w:rPr>
          <w:t xml:space="preserve"> </w:t>
        </w:r>
        <w:r w:rsidR="00E54B37" w:rsidRPr="004A6106">
          <w:rPr>
            <w:rStyle w:val="Hyperlink"/>
            <w:lang w:val="fr-CA"/>
          </w:rPr>
          <w:t>n</w:t>
        </w:r>
        <w:r w:rsidR="00E54B37" w:rsidRPr="004A6106">
          <w:rPr>
            <w:rStyle w:val="Hyperlink"/>
            <w:vertAlign w:val="superscript"/>
            <w:lang w:val="fr-CA"/>
          </w:rPr>
          <w:t>o</w:t>
        </w:r>
        <w:r w:rsidR="00E54B37" w:rsidRPr="004A6106">
          <w:rPr>
            <w:rStyle w:val="Hyperlink"/>
            <w:lang w:val="fr-CA"/>
          </w:rPr>
          <w:t> 13,</w:t>
        </w:r>
        <w:r w:rsidR="00E54B37" w:rsidRPr="004A6106">
          <w:rPr>
            <w:rStyle w:val="Hyperlink"/>
            <w:i/>
            <w:iCs/>
            <w:lang w:val="fr-CA"/>
          </w:rPr>
          <w:t xml:space="preserve"> Recommandations de sécurité nucléaire sur la protection physique des matières nucléaires et des installations nucléaires de l’AIEA</w:t>
        </w:r>
      </w:hyperlink>
      <w:r w:rsidR="00E54B37" w:rsidRPr="004A6106">
        <w:rPr>
          <w:lang w:val="fr-CA"/>
        </w:rPr>
        <w:t>, ce qui fournirait une orientation sur le respect des exigences de la CPPMN.</w:t>
      </w:r>
    </w:p>
    <w:p w14:paraId="605DEED6" w14:textId="0020824B" w:rsidR="006D6CC6" w:rsidRPr="004A6106" w:rsidRDefault="004610F9" w:rsidP="00BD10E9">
      <w:pPr>
        <w:pStyle w:val="BodyText"/>
        <w:ind w:left="0"/>
        <w:rPr>
          <w:lang w:val="fr-CA"/>
        </w:rPr>
      </w:pPr>
      <w:r w:rsidRPr="004A6106">
        <w:rPr>
          <w:lang w:val="fr-CA"/>
        </w:rPr>
        <w:t>Dans l</w:t>
      </w:r>
      <w:r w:rsidR="00D224CC" w:rsidRPr="004A6106">
        <w:rPr>
          <w:lang w:val="fr-CA"/>
        </w:rPr>
        <w:t>a plupart des installations autres que les SSE</w:t>
      </w:r>
      <w:r w:rsidRPr="004A6106">
        <w:rPr>
          <w:lang w:val="fr-CA"/>
        </w:rPr>
        <w:t>, il n’y a pas</w:t>
      </w:r>
      <w:r w:rsidR="00D224CC" w:rsidRPr="004A6106">
        <w:rPr>
          <w:lang w:val="fr-CA"/>
        </w:rPr>
        <w:t xml:space="preserve"> de matières nucléaires de catégorie I, II ou III et </w:t>
      </w:r>
      <w:r w:rsidRPr="004A6106">
        <w:rPr>
          <w:lang w:val="fr-CA"/>
        </w:rPr>
        <w:t xml:space="preserve">elles </w:t>
      </w:r>
      <w:r w:rsidR="00D224CC" w:rsidRPr="004A6106">
        <w:rPr>
          <w:lang w:val="fr-CA"/>
        </w:rPr>
        <w:t>ne seraient donc pas touchées par la disposition proposée.</w:t>
      </w:r>
      <w:r w:rsidRPr="004A6106">
        <w:rPr>
          <w:lang w:val="fr-CA"/>
        </w:rPr>
        <w:t xml:space="preserve"> </w:t>
      </w:r>
      <w:r w:rsidR="00A554F4" w:rsidRPr="004A6106">
        <w:rPr>
          <w:lang w:val="fr-CA"/>
        </w:rPr>
        <w:t>D</w:t>
      </w:r>
      <w:r w:rsidR="00C83F17" w:rsidRPr="004A6106">
        <w:rPr>
          <w:lang w:val="fr-CA"/>
        </w:rPr>
        <w:t xml:space="preserve">es parties intéressées des SSE </w:t>
      </w:r>
      <w:r w:rsidR="00C83F17" w:rsidRPr="004A6106">
        <w:rPr>
          <w:lang w:val="fr-CA"/>
        </w:rPr>
        <w:lastRenderedPageBreak/>
        <w:t>ont affirmé que l’exigence proposée pourrait nécessiter du personnel et de la formation supplémentaires, mais elles ne pouvaient pas fournir d’estimations pour le moment.</w:t>
      </w:r>
      <w:r w:rsidRPr="004A6106">
        <w:rPr>
          <w:lang w:val="fr-CA"/>
        </w:rPr>
        <w:t xml:space="preserve"> </w:t>
      </w:r>
      <w:r w:rsidR="00B914DE" w:rsidRPr="004A6106">
        <w:rPr>
          <w:lang w:val="fr-CA"/>
        </w:rPr>
        <w:t xml:space="preserve">Elles ont aussi indiqué que </w:t>
      </w:r>
      <w:r w:rsidR="00C4414A">
        <w:rPr>
          <w:lang w:val="fr-CA"/>
        </w:rPr>
        <w:t>d</w:t>
      </w:r>
      <w:r w:rsidR="00B914DE" w:rsidRPr="004A6106">
        <w:rPr>
          <w:lang w:val="fr-CA"/>
        </w:rPr>
        <w:t xml:space="preserve">es escortes armées </w:t>
      </w:r>
      <w:r w:rsidR="00C4414A">
        <w:rPr>
          <w:lang w:val="fr-CA"/>
        </w:rPr>
        <w:t>accompagnant les</w:t>
      </w:r>
      <w:r w:rsidR="00B914DE" w:rsidRPr="004A6106">
        <w:rPr>
          <w:lang w:val="fr-CA"/>
        </w:rPr>
        <w:t xml:space="preserve"> matières nucléaires pourraient soulever des questions de compétence et que dans certains pays, il incombe aux militaires de fournir ce type d’escortes.</w:t>
      </w:r>
      <w:r w:rsidRPr="004A6106">
        <w:rPr>
          <w:lang w:val="fr-CA"/>
        </w:rPr>
        <w:t xml:space="preserve"> </w:t>
      </w:r>
      <w:r w:rsidR="00F70E70" w:rsidRPr="004A6106">
        <w:rPr>
          <w:lang w:val="fr-CA"/>
        </w:rPr>
        <w:t>En général, les parties intéressées des SSE ont ajouté qu’elles ont établi de bonnes relations avec les corps policiers, qui pourraient fournir les escortes demandées dans l’exigence proposée.</w:t>
      </w:r>
    </w:p>
    <w:p w14:paraId="0EA06C60" w14:textId="14DBB0D6" w:rsidR="006D6CC6" w:rsidRPr="004A6106" w:rsidRDefault="008E5A21" w:rsidP="00BD10E9">
      <w:pPr>
        <w:pStyle w:val="BodyText"/>
        <w:ind w:left="0"/>
        <w:rPr>
          <w:lang w:val="fr-CA"/>
        </w:rPr>
      </w:pPr>
      <w:r w:rsidRPr="004A6106">
        <w:rPr>
          <w:lang w:val="fr-CA"/>
        </w:rPr>
        <w:t xml:space="preserve">Dans l’ensemble, les participants </w:t>
      </w:r>
      <w:r w:rsidR="004610F9" w:rsidRPr="004A6106">
        <w:rPr>
          <w:lang w:val="fr-CA"/>
        </w:rPr>
        <w:t>s</w:t>
      </w:r>
      <w:r w:rsidR="00C4414A">
        <w:rPr>
          <w:lang w:val="fr-CA"/>
        </w:rPr>
        <w:t>er</w:t>
      </w:r>
      <w:r w:rsidR="004610F9" w:rsidRPr="004A6106">
        <w:rPr>
          <w:lang w:val="fr-CA"/>
        </w:rPr>
        <w:t>ont heureux</w:t>
      </w:r>
      <w:r w:rsidRPr="004A6106">
        <w:rPr>
          <w:lang w:val="fr-CA"/>
        </w:rPr>
        <w:t xml:space="preserve"> de pouvoir discuter plus longuement de ce point pendant que la CCSN continue de peaufiner cette nouvelle exigence proposée.</w:t>
      </w:r>
    </w:p>
    <w:p w14:paraId="4F8A8A00" w14:textId="77777777" w:rsidR="00CC46AF" w:rsidRDefault="00CC46AF" w:rsidP="00BD10E9">
      <w:pPr>
        <w:pStyle w:val="Heading3"/>
        <w:rPr>
          <w:lang w:val="fr-CA"/>
        </w:rPr>
      </w:pPr>
    </w:p>
    <w:p w14:paraId="7892BC1D" w14:textId="03CFA21B" w:rsidR="006D6CC6" w:rsidRPr="004A6106" w:rsidRDefault="00A8067E" w:rsidP="00BD10E9">
      <w:pPr>
        <w:pStyle w:val="Heading3"/>
        <w:rPr>
          <w:lang w:val="fr-CA"/>
        </w:rPr>
      </w:pPr>
      <w:r w:rsidRPr="004A6106">
        <w:rPr>
          <w:lang w:val="fr-CA"/>
        </w:rPr>
        <w:t>Dispositions transitoires/entrée en vigueur (article 123)</w:t>
      </w:r>
    </w:p>
    <w:p w14:paraId="4820117A" w14:textId="2D842EC0" w:rsidR="006D6CC6" w:rsidRDefault="00A554F4" w:rsidP="00BD10E9">
      <w:pPr>
        <w:pStyle w:val="BodyText"/>
        <w:ind w:left="0"/>
        <w:rPr>
          <w:lang w:val="fr-CA"/>
        </w:rPr>
      </w:pPr>
      <w:r w:rsidRPr="004A6106">
        <w:rPr>
          <w:lang w:val="fr-CA"/>
        </w:rPr>
        <w:t>D</w:t>
      </w:r>
      <w:r w:rsidR="00F04191" w:rsidRPr="004A6106">
        <w:rPr>
          <w:lang w:val="fr-CA"/>
        </w:rPr>
        <w:t xml:space="preserve">es participants se sont </w:t>
      </w:r>
      <w:proofErr w:type="gramStart"/>
      <w:r w:rsidR="00F04191" w:rsidRPr="004A6106">
        <w:rPr>
          <w:lang w:val="fr-CA"/>
        </w:rPr>
        <w:t>dit</w:t>
      </w:r>
      <w:r w:rsidR="004610F9" w:rsidRPr="004A6106">
        <w:rPr>
          <w:lang w:val="fr-CA"/>
        </w:rPr>
        <w:t>s</w:t>
      </w:r>
      <w:proofErr w:type="gramEnd"/>
      <w:r w:rsidR="00F04191" w:rsidRPr="004A6106">
        <w:rPr>
          <w:lang w:val="fr-CA"/>
        </w:rPr>
        <w:t xml:space="preserve"> préoccupés par le délai proposé pour l’entrée en vigueur du règlement (un an pour les SSE et deux ans pour les sites autres que les SSE), affirmant que la mise en </w:t>
      </w:r>
      <w:r w:rsidR="004610F9" w:rsidRPr="004A6106">
        <w:rPr>
          <w:lang w:val="fr-CA"/>
        </w:rPr>
        <w:t>œ</w:t>
      </w:r>
      <w:r w:rsidR="00F04191" w:rsidRPr="004A6106">
        <w:rPr>
          <w:lang w:val="fr-CA"/>
        </w:rPr>
        <w:t>uvre devrait plutôt s’échelonner sur cinq à dix ans.</w:t>
      </w:r>
      <w:r w:rsidRPr="004A6106">
        <w:rPr>
          <w:lang w:val="fr-CA"/>
        </w:rPr>
        <w:t xml:space="preserve"> Ils </w:t>
      </w:r>
      <w:r w:rsidR="00A268AB" w:rsidRPr="004A6106">
        <w:rPr>
          <w:lang w:val="fr-CA"/>
        </w:rPr>
        <w:t xml:space="preserve">ont </w:t>
      </w:r>
      <w:r w:rsidRPr="004A6106">
        <w:rPr>
          <w:lang w:val="fr-CA"/>
        </w:rPr>
        <w:t>précisé</w:t>
      </w:r>
      <w:r w:rsidR="00A268AB" w:rsidRPr="004A6106">
        <w:rPr>
          <w:lang w:val="fr-CA"/>
        </w:rPr>
        <w:t xml:space="preserve"> que le RSN 2023 proposé imposerait des coûts importants aux installations existantes et interromprait d’autres projets en cours ou planifiés, y compris des projets importants sur le plan de la sûreté.</w:t>
      </w:r>
      <w:r w:rsidRPr="004A6106">
        <w:rPr>
          <w:lang w:val="fr-CA"/>
        </w:rPr>
        <w:t xml:space="preserve"> Les participants ont aussi fait valoir que le délai établi pour l’entrée en vigueur pourrait être échelonné pour certaines dispositions, ce qui accorderait plus de temps aux titulaires de permis pour se conformer aux dispositions du r</w:t>
      </w:r>
      <w:r w:rsidR="00885B3E" w:rsidRPr="004A6106">
        <w:rPr>
          <w:lang w:val="fr-CA"/>
        </w:rPr>
        <w:t>è</w:t>
      </w:r>
      <w:r w:rsidRPr="004A6106">
        <w:rPr>
          <w:lang w:val="fr-CA"/>
        </w:rPr>
        <w:t>glement proposé</w:t>
      </w:r>
      <w:r w:rsidR="00C4414A">
        <w:rPr>
          <w:lang w:val="fr-CA"/>
        </w:rPr>
        <w:t xml:space="preserve"> qui ont le plus d’incidence</w:t>
      </w:r>
      <w:r w:rsidRPr="004A6106">
        <w:rPr>
          <w:lang w:val="fr-CA"/>
        </w:rPr>
        <w:t xml:space="preserve">. </w:t>
      </w:r>
      <w:r w:rsidR="002E2EAB" w:rsidRPr="004A6106">
        <w:rPr>
          <w:lang w:val="fr-CA"/>
        </w:rPr>
        <w:t xml:space="preserve">Les délais proposés pour l’entrée en vigueur seront examinés et discutés pour s’assurer qu’il </w:t>
      </w:r>
      <w:r w:rsidR="004610F9" w:rsidRPr="004A6106">
        <w:rPr>
          <w:lang w:val="fr-CA"/>
        </w:rPr>
        <w:t>es</w:t>
      </w:r>
      <w:r w:rsidR="002E2EAB" w:rsidRPr="004A6106">
        <w:rPr>
          <w:lang w:val="fr-CA"/>
        </w:rPr>
        <w:t>t possible de mettre en application le r</w:t>
      </w:r>
      <w:r w:rsidR="00E43777" w:rsidRPr="004A6106">
        <w:rPr>
          <w:lang w:val="fr-CA"/>
        </w:rPr>
        <w:t>è</w:t>
      </w:r>
      <w:r w:rsidR="002E2EAB" w:rsidRPr="004A6106">
        <w:rPr>
          <w:lang w:val="fr-CA"/>
        </w:rPr>
        <w:t>glement proposé selon un échéancier raisonnable.</w:t>
      </w:r>
    </w:p>
    <w:p w14:paraId="319C3306" w14:textId="77777777" w:rsidR="00CC46AF" w:rsidRPr="004A6106" w:rsidRDefault="00CC46AF" w:rsidP="00BD10E9">
      <w:pPr>
        <w:pStyle w:val="BodyText"/>
        <w:ind w:left="0"/>
        <w:rPr>
          <w:lang w:val="fr-CA"/>
        </w:rPr>
      </w:pPr>
    </w:p>
    <w:p w14:paraId="114B5A7A" w14:textId="3EB02BFB" w:rsidR="006D6CC6" w:rsidRPr="004A6106" w:rsidRDefault="00675C2A" w:rsidP="00BD10E9">
      <w:pPr>
        <w:pStyle w:val="Heading2"/>
        <w:rPr>
          <w:lang w:val="fr-CA"/>
        </w:rPr>
      </w:pPr>
      <w:r w:rsidRPr="004A6106">
        <w:rPr>
          <w:lang w:val="fr-CA"/>
        </w:rPr>
        <w:t>Thèmes liés aux sites autres que les SSE</w:t>
      </w:r>
    </w:p>
    <w:p w14:paraId="49446E6D" w14:textId="77777777" w:rsidR="00C4414A" w:rsidRDefault="00C4414A" w:rsidP="00BD10E9">
      <w:pPr>
        <w:pStyle w:val="Heading3"/>
        <w:rPr>
          <w:lang w:val="fr-CA"/>
        </w:rPr>
      </w:pPr>
    </w:p>
    <w:p w14:paraId="6B866E8E" w14:textId="43024601" w:rsidR="006D6CC6" w:rsidRPr="004A6106" w:rsidRDefault="008F27D2" w:rsidP="00BD10E9">
      <w:pPr>
        <w:pStyle w:val="Heading3"/>
        <w:rPr>
          <w:lang w:val="fr-CA"/>
        </w:rPr>
      </w:pPr>
      <w:r w:rsidRPr="004A6106">
        <w:rPr>
          <w:lang w:val="fr-CA"/>
        </w:rPr>
        <w:t>Application du RSN 2023 (article 2)</w:t>
      </w:r>
    </w:p>
    <w:p w14:paraId="1F4C1E05" w14:textId="3FF53070" w:rsidR="006D6CC6" w:rsidRPr="004A6106" w:rsidRDefault="00DF4297" w:rsidP="00BD10E9">
      <w:pPr>
        <w:pStyle w:val="BodyText"/>
        <w:ind w:left="0"/>
        <w:rPr>
          <w:lang w:val="fr-CA"/>
        </w:rPr>
      </w:pPr>
      <w:r w:rsidRPr="004A6106">
        <w:rPr>
          <w:lang w:val="fr-CA"/>
        </w:rPr>
        <w:t xml:space="preserve">Des participants ont fait part de leur inquiétude </w:t>
      </w:r>
      <w:r w:rsidR="00885B3E" w:rsidRPr="004A6106">
        <w:rPr>
          <w:lang w:val="fr-CA"/>
        </w:rPr>
        <w:t>au sujet d</w:t>
      </w:r>
      <w:r w:rsidRPr="004A6106">
        <w:rPr>
          <w:lang w:val="fr-CA"/>
        </w:rPr>
        <w:t xml:space="preserve">u manque de précisions quant à l’application du RSN, car il n’était pas clairement indiqué quels sites ou installations seront assujettis au règlement proposé. </w:t>
      </w:r>
      <w:r w:rsidR="00885B3E" w:rsidRPr="004A6106">
        <w:rPr>
          <w:lang w:val="fr-CA"/>
        </w:rPr>
        <w:t>L’utilisation des termes « matières nucléaires » et « substances nucléaires » tout au long du règlement proposé entraîne aussi de la confusion à savoir quelles exigences s’appliqueraient à certaines installations.</w:t>
      </w:r>
      <w:r w:rsidRPr="004A6106">
        <w:rPr>
          <w:lang w:val="fr-CA"/>
        </w:rPr>
        <w:t xml:space="preserve"> </w:t>
      </w:r>
    </w:p>
    <w:p w14:paraId="462876F7" w14:textId="7C41292E" w:rsidR="006D6CC6" w:rsidRPr="004A6106" w:rsidRDefault="003A62B0" w:rsidP="00BD10E9">
      <w:pPr>
        <w:pStyle w:val="BodyText"/>
        <w:ind w:left="0"/>
        <w:rPr>
          <w:lang w:val="fr-CA"/>
        </w:rPr>
      </w:pPr>
      <w:r w:rsidRPr="004A6106">
        <w:rPr>
          <w:lang w:val="fr-CA"/>
        </w:rPr>
        <w:t xml:space="preserve">De plus, des participants ont demandé quelle était la source de certaines définitions, et pour les installations visées par le règlement proposé, si les plans relatifs à la cybersécurité et à la sécurité physique pourraient être des plans ou des documents distincts. </w:t>
      </w:r>
      <w:r w:rsidR="002956FC" w:rsidRPr="004A6106">
        <w:rPr>
          <w:lang w:val="fr-CA"/>
        </w:rPr>
        <w:t xml:space="preserve">On a confirmé que ces renseignements proviennent de la </w:t>
      </w:r>
      <w:hyperlink r:id="rId17" w:history="1">
        <w:r w:rsidR="002956FC" w:rsidRPr="004A6106">
          <w:rPr>
            <w:rStyle w:val="Hyperlink"/>
            <w:i/>
            <w:iCs/>
            <w:lang w:val="fr-CA"/>
          </w:rPr>
          <w:t>Loi sur la sûreté et la réglementation nucléaires</w:t>
        </w:r>
      </w:hyperlink>
      <w:r w:rsidR="002956FC" w:rsidRPr="004A6106">
        <w:rPr>
          <w:lang w:val="fr-CA"/>
        </w:rPr>
        <w:t xml:space="preserve"> (LSRN) et que les plans en matière de cybersécurité et de sécurité physique pourraient être </w:t>
      </w:r>
      <w:r w:rsidR="0026328F" w:rsidRPr="004A6106">
        <w:rPr>
          <w:lang w:val="fr-CA"/>
        </w:rPr>
        <w:t>séparé</w:t>
      </w:r>
      <w:r w:rsidR="002956FC" w:rsidRPr="004A6106">
        <w:rPr>
          <w:lang w:val="fr-CA"/>
        </w:rPr>
        <w:t>s.</w:t>
      </w:r>
      <w:r w:rsidRPr="004A6106">
        <w:rPr>
          <w:lang w:val="fr-CA"/>
        </w:rPr>
        <w:t xml:space="preserve"> </w:t>
      </w:r>
      <w:r w:rsidR="006074E9" w:rsidRPr="004A6106">
        <w:rPr>
          <w:lang w:val="fr-CA"/>
        </w:rPr>
        <w:t xml:space="preserve">Certaines parties intéressées ont proposé d’harmoniser les renseignements concernant les substances nucléaires avec ceux du </w:t>
      </w:r>
      <w:hyperlink r:id="rId18" w:history="1">
        <w:r w:rsidR="006074E9" w:rsidRPr="004A6106">
          <w:rPr>
            <w:rStyle w:val="Hyperlink"/>
            <w:i/>
            <w:iCs/>
            <w:lang w:val="fr-CA"/>
          </w:rPr>
          <w:t>Règlement sur les activités concrètes</w:t>
        </w:r>
      </w:hyperlink>
      <w:r w:rsidR="006074E9" w:rsidRPr="004A6106">
        <w:rPr>
          <w:lang w:val="fr-CA"/>
        </w:rPr>
        <w:t xml:space="preserve"> d’Environnement et Changement climatique Canada.</w:t>
      </w:r>
    </w:p>
    <w:p w14:paraId="604FD476" w14:textId="614D322C" w:rsidR="006D6CC6" w:rsidRDefault="0026328F" w:rsidP="00BD10E9">
      <w:pPr>
        <w:pStyle w:val="BodyText"/>
        <w:ind w:left="0"/>
        <w:rPr>
          <w:lang w:val="fr-CA"/>
        </w:rPr>
      </w:pPr>
      <w:r w:rsidRPr="004A6106">
        <w:rPr>
          <w:lang w:val="fr-CA"/>
        </w:rPr>
        <w:t xml:space="preserve">En général, la formulation de cet article et les types d’installations visées devraient être précisés et ils seront examinés pour s’assurer que l’application du règlement est clairement définie dans le règlement définitif. </w:t>
      </w:r>
    </w:p>
    <w:p w14:paraId="474B30DD" w14:textId="77777777" w:rsidR="00CC46AF" w:rsidRPr="004A6106" w:rsidRDefault="00CC46AF" w:rsidP="00BD10E9">
      <w:pPr>
        <w:pStyle w:val="BodyText"/>
        <w:ind w:left="0"/>
        <w:rPr>
          <w:lang w:val="fr-CA"/>
        </w:rPr>
      </w:pPr>
    </w:p>
    <w:p w14:paraId="7196A25C" w14:textId="7C15B9AF" w:rsidR="006D6CC6" w:rsidRPr="004A6106" w:rsidRDefault="006B3DD9" w:rsidP="00BD10E9">
      <w:pPr>
        <w:pStyle w:val="Heading3"/>
        <w:rPr>
          <w:lang w:val="fr-CA"/>
        </w:rPr>
      </w:pPr>
      <w:r w:rsidRPr="004A6106">
        <w:rPr>
          <w:lang w:val="fr-CA"/>
        </w:rPr>
        <w:t>Interfaces de sécurité (article 9)</w:t>
      </w:r>
    </w:p>
    <w:p w14:paraId="3ADF880D" w14:textId="13E45728" w:rsidR="006D6CC6" w:rsidRPr="004A6106" w:rsidRDefault="00F834AA" w:rsidP="00BD10E9">
      <w:pPr>
        <w:pStyle w:val="BodyText"/>
        <w:ind w:left="0"/>
        <w:rPr>
          <w:lang w:val="fr-CA"/>
        </w:rPr>
      </w:pPr>
      <w:r w:rsidRPr="004A6106">
        <w:rPr>
          <w:lang w:val="fr-CA"/>
        </w:rPr>
        <w:t xml:space="preserve">Des participants ont exprimé une certaine inquiétude quant au dédoublement possible des exigences de cet article et se posaient la question à savoir si les exigences en matière de comptabilité des matières </w:t>
      </w:r>
      <w:r w:rsidRPr="004A6106">
        <w:rPr>
          <w:lang w:val="fr-CA"/>
        </w:rPr>
        <w:lastRenderedPageBreak/>
        <w:t xml:space="preserve">nucléaires (garanties) s’appliqueraient à toutes les installations. Ils ont également demandé si cette exigence serait aussi gérée par leurs systèmes de gestion actuels. </w:t>
      </w:r>
    </w:p>
    <w:p w14:paraId="2C733277" w14:textId="7DB75975" w:rsidR="006D6CC6" w:rsidRPr="004A6106" w:rsidRDefault="00617DA3" w:rsidP="00BD10E9">
      <w:pPr>
        <w:pStyle w:val="BodyText"/>
        <w:ind w:left="0"/>
        <w:rPr>
          <w:lang w:val="fr-CA"/>
        </w:rPr>
      </w:pPr>
      <w:r w:rsidRPr="004A6106">
        <w:rPr>
          <w:lang w:val="fr-CA"/>
        </w:rPr>
        <w:t xml:space="preserve">On a confirmé que l’utilisation d’un système de gestion intégré permettrait de répondre à cette exigence et que l’objectif de cette mesure est de s’assurer qu’il n’y ait pas de contradiction entre les pratiques en matière de sûreté, de sécurité et de garanties des installations nucléaires. </w:t>
      </w:r>
      <w:r w:rsidR="001757AC" w:rsidRPr="004A6106">
        <w:rPr>
          <w:lang w:val="fr-CA"/>
        </w:rPr>
        <w:t>On a précisé que la comptabilité des matières nucléaires ne s’appliquerait qu’aux installations où des matières nucléaires de catégorie I, II ou III sont présentes, mais pas aux installations où il y a d’autres substances nucléaires, et que les REGDOC révisés comprendront une orientation sur la mise en place des interfaces liées à la sûreté, à la sécurité et aux garanties.</w:t>
      </w:r>
    </w:p>
    <w:p w14:paraId="5A63CD9B" w14:textId="77777777" w:rsidR="006D6CC6" w:rsidRPr="004A6106" w:rsidRDefault="006D6CC6" w:rsidP="00BD10E9">
      <w:pPr>
        <w:pStyle w:val="BodyText"/>
        <w:ind w:left="0"/>
        <w:rPr>
          <w:lang w:val="fr-CA"/>
        </w:rPr>
      </w:pPr>
    </w:p>
    <w:p w14:paraId="41D38CFF" w14:textId="08F57F4C" w:rsidR="006D6CC6" w:rsidRPr="004A6106" w:rsidRDefault="008D1EC0" w:rsidP="00BD10E9">
      <w:pPr>
        <w:pStyle w:val="Heading3"/>
        <w:rPr>
          <w:lang w:val="fr-CA"/>
        </w:rPr>
      </w:pPr>
      <w:r w:rsidRPr="004A6106">
        <w:rPr>
          <w:lang w:val="fr-CA"/>
        </w:rPr>
        <w:t>Mesures compensatoires (articles 10 et 11)</w:t>
      </w:r>
    </w:p>
    <w:p w14:paraId="6BD4FCBC" w14:textId="57A9C3FD" w:rsidR="006D6CC6" w:rsidRDefault="00192888" w:rsidP="00BD10E9">
      <w:pPr>
        <w:pStyle w:val="BodyText"/>
        <w:ind w:left="0"/>
        <w:rPr>
          <w:lang w:val="fr-CA"/>
        </w:rPr>
      </w:pPr>
      <w:r w:rsidRPr="004A6106">
        <w:rPr>
          <w:lang w:val="fr-CA"/>
        </w:rPr>
        <w:t xml:space="preserve">Des participants se sont </w:t>
      </w:r>
      <w:proofErr w:type="gramStart"/>
      <w:r w:rsidRPr="004A6106">
        <w:rPr>
          <w:lang w:val="fr-CA"/>
        </w:rPr>
        <w:t>dits</w:t>
      </w:r>
      <w:proofErr w:type="gramEnd"/>
      <w:r w:rsidRPr="004A6106">
        <w:rPr>
          <w:lang w:val="fr-CA"/>
        </w:rPr>
        <w:t xml:space="preserve"> inquiets de la nature normative des exigences proposées ainsi que de leur applicabilité, puisque dans certains cas, des délais sont imposés pour certains composants ou services de re</w:t>
      </w:r>
      <w:r w:rsidR="007C0EF7" w:rsidRPr="004A6106">
        <w:rPr>
          <w:lang w:val="fr-CA"/>
        </w:rPr>
        <w:t>mplacement</w:t>
      </w:r>
      <w:r w:rsidRPr="004A6106">
        <w:rPr>
          <w:lang w:val="fr-CA"/>
        </w:rPr>
        <w:t xml:space="preserve">. </w:t>
      </w:r>
      <w:r w:rsidR="007C0EF7" w:rsidRPr="004A6106">
        <w:rPr>
          <w:lang w:val="fr-CA"/>
        </w:rPr>
        <w:t xml:space="preserve">Des participants ont recommandé d’appliquer ces exigences selon une approche </w:t>
      </w:r>
      <w:r w:rsidR="0018313E" w:rsidRPr="004A6106">
        <w:rPr>
          <w:lang w:val="fr-CA"/>
        </w:rPr>
        <w:t>tenant compte du</w:t>
      </w:r>
      <w:r w:rsidR="007C0EF7" w:rsidRPr="004A6106">
        <w:rPr>
          <w:lang w:val="fr-CA"/>
        </w:rPr>
        <w:t xml:space="preserve"> risque, en prévoyant des mesures compensatoires en cas de défaillance d’un dispositif essentiel ainsi qu’un remplacement et un signalement immédiats si aucune mesure compensatoire n’est en place.</w:t>
      </w:r>
      <w:r w:rsidRPr="004A6106">
        <w:rPr>
          <w:lang w:val="fr-CA"/>
        </w:rPr>
        <w:t xml:space="preserve"> </w:t>
      </w:r>
      <w:r w:rsidR="00EF3417" w:rsidRPr="004A6106">
        <w:rPr>
          <w:lang w:val="fr-CA"/>
        </w:rPr>
        <w:t xml:space="preserve">Les exigences proposées seront examinées pour s’assurer qu’elles sont appliquées en utilisant une approche </w:t>
      </w:r>
      <w:r w:rsidR="0018313E" w:rsidRPr="004A6106">
        <w:rPr>
          <w:lang w:val="fr-CA"/>
        </w:rPr>
        <w:t>tenant compte du</w:t>
      </w:r>
      <w:r w:rsidR="00EF3417" w:rsidRPr="004A6106">
        <w:rPr>
          <w:lang w:val="fr-CA"/>
        </w:rPr>
        <w:t xml:space="preserve"> risque et qu’elles sont applicables dans toutes les installations.</w:t>
      </w:r>
      <w:r w:rsidRPr="004A6106">
        <w:rPr>
          <w:lang w:val="fr-CA"/>
        </w:rPr>
        <w:t xml:space="preserve"> </w:t>
      </w:r>
    </w:p>
    <w:p w14:paraId="1CE4A494" w14:textId="77777777" w:rsidR="00CC46AF" w:rsidRPr="004A6106" w:rsidRDefault="00CC46AF" w:rsidP="00BD10E9">
      <w:pPr>
        <w:pStyle w:val="BodyText"/>
        <w:ind w:left="0"/>
        <w:rPr>
          <w:lang w:val="fr-CA"/>
        </w:rPr>
      </w:pPr>
    </w:p>
    <w:p w14:paraId="7D4E0D02" w14:textId="1534E996" w:rsidR="006D6CC6" w:rsidRPr="004A6106" w:rsidRDefault="00FF3971" w:rsidP="00BD10E9">
      <w:pPr>
        <w:pStyle w:val="Heading3"/>
        <w:rPr>
          <w:lang w:val="fr-CA"/>
        </w:rPr>
      </w:pPr>
      <w:r w:rsidRPr="004A6106">
        <w:rPr>
          <w:lang w:val="fr-CA"/>
        </w:rPr>
        <w:t>Cote d’accès au site/filtrage et accès aux sites autres que les SSE (articles 23 et 28)</w:t>
      </w:r>
    </w:p>
    <w:p w14:paraId="365605DB" w14:textId="569E5130" w:rsidR="006D6CC6" w:rsidRPr="004A6106" w:rsidRDefault="00C12E86" w:rsidP="00BD10E9">
      <w:pPr>
        <w:pStyle w:val="BodyText"/>
        <w:ind w:left="0"/>
        <w:rPr>
          <w:lang w:val="fr-CA"/>
        </w:rPr>
      </w:pPr>
      <w:r w:rsidRPr="004A6106">
        <w:rPr>
          <w:lang w:val="fr-CA"/>
        </w:rPr>
        <w:t xml:space="preserve">Des participants </w:t>
      </w:r>
      <w:r w:rsidR="007A1ED1" w:rsidRPr="004A6106">
        <w:rPr>
          <w:lang w:val="fr-CA"/>
        </w:rPr>
        <w:t xml:space="preserve">se sont </w:t>
      </w:r>
      <w:proofErr w:type="gramStart"/>
      <w:r w:rsidR="007A1ED1" w:rsidRPr="004A6106">
        <w:rPr>
          <w:lang w:val="fr-CA"/>
        </w:rPr>
        <w:t>dits</w:t>
      </w:r>
      <w:proofErr w:type="gramEnd"/>
      <w:r w:rsidR="007A1ED1" w:rsidRPr="004A6106">
        <w:rPr>
          <w:lang w:val="fr-CA"/>
        </w:rPr>
        <w:t xml:space="preserve"> inquiets</w:t>
      </w:r>
      <w:r w:rsidRPr="004A6106">
        <w:rPr>
          <w:lang w:val="fr-CA"/>
        </w:rPr>
        <w:t xml:space="preserve"> que l’intégration par renvoi de la </w:t>
      </w:r>
      <w:hyperlink r:id="rId19" w:history="1">
        <w:r w:rsidRPr="004A6106">
          <w:rPr>
            <w:rStyle w:val="Hyperlink"/>
            <w:i/>
            <w:iCs/>
            <w:lang w:val="fr-CA"/>
          </w:rPr>
          <w:t>Norme sur le filtrage de sécurité</w:t>
        </w:r>
      </w:hyperlink>
      <w:r w:rsidRPr="004A6106">
        <w:rPr>
          <w:lang w:val="fr-CA"/>
        </w:rPr>
        <w:t xml:space="preserve"> du Secrétariat du Conseil du Trésor (SCT) </w:t>
      </w:r>
      <w:r w:rsidR="00C4414A">
        <w:rPr>
          <w:lang w:val="fr-CA"/>
        </w:rPr>
        <w:t>puisque la</w:t>
      </w:r>
      <w:r w:rsidRPr="004A6106">
        <w:rPr>
          <w:lang w:val="fr-CA"/>
        </w:rPr>
        <w:t xml:space="preserve"> nouvelle exigence pour les vérifications de la solvabilité ne s</w:t>
      </w:r>
      <w:r w:rsidR="00C4414A">
        <w:rPr>
          <w:lang w:val="fr-CA"/>
        </w:rPr>
        <w:t>erait</w:t>
      </w:r>
      <w:r w:rsidRPr="004A6106">
        <w:rPr>
          <w:lang w:val="fr-CA"/>
        </w:rPr>
        <w:t xml:space="preserve"> pas réalisable. </w:t>
      </w:r>
      <w:r w:rsidR="004A359E" w:rsidRPr="004A6106">
        <w:rPr>
          <w:lang w:val="fr-CA"/>
        </w:rPr>
        <w:t xml:space="preserve">On a confirmé que le renvoi à la </w:t>
      </w:r>
      <w:hyperlink r:id="rId20" w:history="1">
        <w:r w:rsidR="004A359E" w:rsidRPr="004A6106">
          <w:rPr>
            <w:rStyle w:val="Hyperlink"/>
            <w:i/>
            <w:iCs/>
            <w:lang w:val="fr-CA"/>
          </w:rPr>
          <w:t>Norme sur le filtrage de sécurité</w:t>
        </w:r>
      </w:hyperlink>
      <w:r w:rsidR="004A359E" w:rsidRPr="004A6106">
        <w:rPr>
          <w:lang w:val="fr-CA"/>
        </w:rPr>
        <w:t xml:space="preserve"> serait retiré de cette exigence pour les sites autres que les SSE afin d’éviter toute confusion avec les exigences du gouvernement en matière d’habilitation de sécurité.</w:t>
      </w:r>
      <w:r w:rsidRPr="004A6106">
        <w:rPr>
          <w:lang w:val="fr-CA"/>
        </w:rPr>
        <w:t xml:space="preserve"> </w:t>
      </w:r>
    </w:p>
    <w:p w14:paraId="1D2B6D6A" w14:textId="13ADA040" w:rsidR="006D6CC6" w:rsidRDefault="007A1ED1" w:rsidP="00BD10E9">
      <w:pPr>
        <w:pStyle w:val="BodyText"/>
        <w:ind w:left="0"/>
        <w:rPr>
          <w:lang w:val="fr-CA"/>
        </w:rPr>
      </w:pPr>
      <w:r w:rsidRPr="004A6106">
        <w:rPr>
          <w:lang w:val="fr-CA"/>
        </w:rPr>
        <w:t xml:space="preserve">Des participants ont aussi fait part de leur inquiétude quant à la nécessité pour les visiteurs de présenter deux pièces d’identité (comme pour les chauffeurs de camion de livraison), puisqu’il s’agit d’une exigence difficile </w:t>
      </w:r>
      <w:r w:rsidR="00DD71E1" w:rsidRPr="004A6106">
        <w:rPr>
          <w:lang w:val="fr-CA"/>
        </w:rPr>
        <w:t>à</w:t>
      </w:r>
      <w:r w:rsidRPr="004A6106">
        <w:rPr>
          <w:lang w:val="fr-CA"/>
        </w:rPr>
        <w:t xml:space="preserve"> satisfaire</w:t>
      </w:r>
      <w:r w:rsidR="0018313E" w:rsidRPr="004A6106">
        <w:rPr>
          <w:lang w:val="fr-CA"/>
        </w:rPr>
        <w:t xml:space="preserve"> et étant donné </w:t>
      </w:r>
      <w:r w:rsidRPr="004A6106">
        <w:rPr>
          <w:lang w:val="fr-CA"/>
        </w:rPr>
        <w:t xml:space="preserve">que les visiteurs doivent toujours présenter une pièce d’identité avec photo et qu’ils sont toujours escortés par des employés qui possèdent les habilitations de sécurité appropriées. </w:t>
      </w:r>
      <w:r w:rsidR="00967904" w:rsidRPr="004A6106">
        <w:rPr>
          <w:lang w:val="fr-CA"/>
        </w:rPr>
        <w:t>Ils ont donc recommandé de revoir cette exigence pour inclure la présentation d’une pièce d’identité combinée à d’autres mesures de sécurité.</w:t>
      </w:r>
      <w:r w:rsidRPr="004A6106">
        <w:rPr>
          <w:lang w:val="fr-CA"/>
        </w:rPr>
        <w:t xml:space="preserve"> </w:t>
      </w:r>
      <w:r w:rsidR="00DD71E1" w:rsidRPr="004A6106">
        <w:rPr>
          <w:lang w:val="fr-CA"/>
        </w:rPr>
        <w:t>L’exigence proposée sera revue pour accorder plus de souplesse quant aux procédures de contrôle de l’accès pour les sites autres que les SSE.</w:t>
      </w:r>
      <w:r w:rsidRPr="004A6106">
        <w:rPr>
          <w:lang w:val="fr-CA"/>
        </w:rPr>
        <w:t xml:space="preserve"> </w:t>
      </w:r>
    </w:p>
    <w:p w14:paraId="01698787" w14:textId="77777777" w:rsidR="00CC46AF" w:rsidRPr="004A6106" w:rsidRDefault="00CC46AF" w:rsidP="00BD10E9">
      <w:pPr>
        <w:pStyle w:val="BodyText"/>
        <w:ind w:left="0"/>
        <w:rPr>
          <w:lang w:val="fr-CA"/>
        </w:rPr>
      </w:pPr>
    </w:p>
    <w:p w14:paraId="7EE7CCD3" w14:textId="771305B5" w:rsidR="006D6CC6" w:rsidRPr="004A6106" w:rsidRDefault="002B3F35" w:rsidP="00BD10E9">
      <w:pPr>
        <w:pStyle w:val="Heading3"/>
        <w:rPr>
          <w:lang w:val="fr-CA"/>
        </w:rPr>
      </w:pPr>
      <w:r w:rsidRPr="004A6106">
        <w:rPr>
          <w:lang w:val="fr-CA"/>
        </w:rPr>
        <w:t>Panneaux et fouilles pour les matières et les substances nucléaires (articles 32 à 34)</w:t>
      </w:r>
    </w:p>
    <w:p w14:paraId="1DA9B10B" w14:textId="076E351C" w:rsidR="006D6CC6" w:rsidRPr="004A6106" w:rsidRDefault="00B61880" w:rsidP="00BD10E9">
      <w:pPr>
        <w:pStyle w:val="BodyText"/>
        <w:ind w:left="0"/>
        <w:rPr>
          <w:lang w:val="fr-CA"/>
        </w:rPr>
      </w:pPr>
      <w:r w:rsidRPr="004A6106">
        <w:rPr>
          <w:lang w:val="fr-CA"/>
        </w:rPr>
        <w:t xml:space="preserve">Des participants ont manifesté de l’inquiétude quant à l’exigence proposée d’afficher un panneau destiné aux installations nucléaires </w:t>
      </w:r>
      <w:r w:rsidR="00070820">
        <w:rPr>
          <w:lang w:val="fr-CA"/>
        </w:rPr>
        <w:t>ayant des matières de catégorie</w:t>
      </w:r>
      <w:r w:rsidRPr="004A6106">
        <w:rPr>
          <w:lang w:val="fr-CA"/>
        </w:rPr>
        <w:t xml:space="preserve"> I, II et III dans les installations où ces matières ne sont pas présentes et on a précisé que la formulation serait modifiée pour clarifier la différence entre les matières nucléaires et les autres substances. </w:t>
      </w:r>
      <w:r w:rsidR="00120952" w:rsidRPr="004A6106">
        <w:rPr>
          <w:lang w:val="fr-CA"/>
        </w:rPr>
        <w:t>Des participants ont demandé des précisions au sujet de la portée de l’exigence proposée, par exemple, sur les substances nucléaires qui seraient visées et les membres du personnel qui devraient être fouillés, puisque la fouille de l’ensemble du personnel aurait d’importantes conséquences sur le plan opérationnel.</w:t>
      </w:r>
      <w:r w:rsidRPr="004A6106">
        <w:rPr>
          <w:lang w:val="fr-CA"/>
        </w:rPr>
        <w:t xml:space="preserve"> </w:t>
      </w:r>
      <w:r w:rsidR="0018313E" w:rsidRPr="004A6106">
        <w:rPr>
          <w:lang w:val="fr-CA"/>
        </w:rPr>
        <w:t xml:space="preserve">Quelqu’un a aussi suggéré de limiter l’exigence proposée aux installations où il y a des matières nucléaires de catégorie I, II ou III, ou que cette </w:t>
      </w:r>
      <w:r w:rsidR="0018313E" w:rsidRPr="004A6106">
        <w:rPr>
          <w:lang w:val="fr-CA"/>
        </w:rPr>
        <w:lastRenderedPageBreak/>
        <w:t>disposition pourrait être déjà régie par l’article 29</w:t>
      </w:r>
      <w:r w:rsidRPr="004A6106">
        <w:rPr>
          <w:rStyle w:val="FootnoteReference"/>
          <w:lang w:val="fr-CA"/>
        </w:rPr>
        <w:footnoteReference w:id="12"/>
      </w:r>
      <w:r w:rsidR="0018313E" w:rsidRPr="004A6106">
        <w:rPr>
          <w:lang w:val="fr-CA"/>
        </w:rPr>
        <w:t xml:space="preserve"> du règlement proposé (avec des exigences supplémentaires pour les installations où il y a des matières nucléaires).</w:t>
      </w:r>
    </w:p>
    <w:p w14:paraId="11F9A62D" w14:textId="356AC7EE" w:rsidR="006D6CC6" w:rsidRPr="004A6106" w:rsidRDefault="00FC3723" w:rsidP="00BD10E9">
      <w:pPr>
        <w:pStyle w:val="BodyText"/>
        <w:ind w:left="0"/>
        <w:rPr>
          <w:lang w:val="fr-CA"/>
        </w:rPr>
      </w:pPr>
      <w:r w:rsidRPr="004A6106">
        <w:rPr>
          <w:lang w:val="fr-CA"/>
        </w:rPr>
        <w:t xml:space="preserve">On a informé les participants que cette exigence a pour but de s’assurer qu’aucune substance nucléaire ne quitte une installation sans autorisation. </w:t>
      </w:r>
      <w:r w:rsidR="00DD777A" w:rsidRPr="004A6106">
        <w:rPr>
          <w:lang w:val="fr-CA"/>
        </w:rPr>
        <w:t xml:space="preserve">L’exigence proposée sera examinée pour s’assurer que la portée et les exigences sont claires et que les REGDOC sur </w:t>
      </w:r>
      <w:proofErr w:type="gramStart"/>
      <w:r w:rsidR="00DD777A" w:rsidRPr="004A6106">
        <w:rPr>
          <w:lang w:val="fr-CA"/>
        </w:rPr>
        <w:t>la sécurité révisés</w:t>
      </w:r>
      <w:proofErr w:type="gramEnd"/>
      <w:r w:rsidR="00DD777A" w:rsidRPr="004A6106">
        <w:rPr>
          <w:lang w:val="fr-CA"/>
        </w:rPr>
        <w:t xml:space="preserve"> fournissent une orientation appropriée.</w:t>
      </w:r>
      <w:r w:rsidRPr="004A6106">
        <w:rPr>
          <w:lang w:val="fr-CA"/>
        </w:rPr>
        <w:t xml:space="preserve"> </w:t>
      </w:r>
    </w:p>
    <w:p w14:paraId="19BB87D0" w14:textId="77777777" w:rsidR="00070820" w:rsidRDefault="00070820" w:rsidP="00BD10E9">
      <w:pPr>
        <w:pStyle w:val="Heading2"/>
        <w:rPr>
          <w:lang w:val="fr-CA"/>
        </w:rPr>
      </w:pPr>
    </w:p>
    <w:p w14:paraId="1AECEF51" w14:textId="0D4B384D" w:rsidR="006D6CC6" w:rsidRDefault="008B59FA" w:rsidP="00BD10E9">
      <w:pPr>
        <w:pStyle w:val="Heading2"/>
        <w:rPr>
          <w:lang w:val="fr-CA"/>
        </w:rPr>
      </w:pPr>
      <w:r w:rsidRPr="004A6106">
        <w:rPr>
          <w:lang w:val="fr-CA"/>
        </w:rPr>
        <w:t>Thèmes liés aux SSE</w:t>
      </w:r>
    </w:p>
    <w:p w14:paraId="1949F9F7" w14:textId="77777777" w:rsidR="00CC46AF" w:rsidRPr="00CC46AF" w:rsidRDefault="00CC46AF" w:rsidP="00CC46AF">
      <w:pPr>
        <w:pStyle w:val="BodyText"/>
        <w:rPr>
          <w:lang w:val="fr-CA"/>
        </w:rPr>
      </w:pPr>
    </w:p>
    <w:p w14:paraId="083C8903" w14:textId="199FF9FF" w:rsidR="006D6CC6" w:rsidRPr="004A6106" w:rsidRDefault="009E3274" w:rsidP="00BD10E9">
      <w:pPr>
        <w:pStyle w:val="Heading3"/>
        <w:rPr>
          <w:lang w:val="fr-CA"/>
        </w:rPr>
      </w:pPr>
      <w:r w:rsidRPr="004A6106">
        <w:rPr>
          <w:lang w:val="fr-CA"/>
        </w:rPr>
        <w:t>Identification des zones vitales (article 73)</w:t>
      </w:r>
    </w:p>
    <w:p w14:paraId="1560E367" w14:textId="33F7C875" w:rsidR="006D6CC6" w:rsidRPr="004A6106" w:rsidRDefault="001D0FFB" w:rsidP="00BD10E9">
      <w:pPr>
        <w:pStyle w:val="BodyText"/>
        <w:ind w:left="0"/>
        <w:rPr>
          <w:lang w:val="fr-CA"/>
        </w:rPr>
      </w:pPr>
      <w:r w:rsidRPr="004A6106">
        <w:rPr>
          <w:lang w:val="fr-CA"/>
        </w:rPr>
        <w:t xml:space="preserve">Des participants se sont </w:t>
      </w:r>
      <w:proofErr w:type="gramStart"/>
      <w:r w:rsidRPr="004A6106">
        <w:rPr>
          <w:lang w:val="fr-CA"/>
        </w:rPr>
        <w:t>dits</w:t>
      </w:r>
      <w:proofErr w:type="gramEnd"/>
      <w:r w:rsidRPr="004A6106">
        <w:rPr>
          <w:lang w:val="fr-CA"/>
        </w:rPr>
        <w:t xml:space="preserve"> très préoccupés par la définition et l’interprétation de ce qu’est une zone vitale</w:t>
      </w:r>
      <w:r w:rsidRPr="004A6106">
        <w:rPr>
          <w:rStyle w:val="FootnoteReference"/>
          <w:lang w:val="fr-CA"/>
        </w:rPr>
        <w:footnoteReference w:id="13"/>
      </w:r>
      <w:r w:rsidRPr="004A6106">
        <w:rPr>
          <w:lang w:val="fr-CA"/>
        </w:rPr>
        <w:t xml:space="preserve"> puisqu’ils n’ont pas de moyen de savoir à quelle dose ou limite de rejet correspond un danger inacceptable. </w:t>
      </w:r>
      <w:r w:rsidR="008F542B" w:rsidRPr="004A6106">
        <w:rPr>
          <w:lang w:val="fr-CA"/>
        </w:rPr>
        <w:t>Les participants ont proposé d’utiliser les limites associées aux conséquences radiologiques inacceptables (CRI) aux fins d’harmonisation avec les recommandations et les pratiques de l’</w:t>
      </w:r>
      <w:r w:rsidR="004610F9" w:rsidRPr="004A6106">
        <w:rPr>
          <w:lang w:val="fr-CA"/>
        </w:rPr>
        <w:t>AIEA</w:t>
      </w:r>
      <w:r w:rsidR="000D501A" w:rsidRPr="004A6106">
        <w:rPr>
          <w:rStyle w:val="FootnoteReference"/>
          <w:lang w:val="fr-CA"/>
        </w:rPr>
        <w:footnoteReference w:id="14"/>
      </w:r>
      <w:r w:rsidR="008F542B" w:rsidRPr="004A6106">
        <w:rPr>
          <w:lang w:val="fr-CA"/>
        </w:rPr>
        <w:t>.</w:t>
      </w:r>
      <w:r w:rsidRPr="004A6106">
        <w:rPr>
          <w:lang w:val="fr-CA"/>
        </w:rPr>
        <w:t xml:space="preserve"> </w:t>
      </w:r>
      <w:r w:rsidR="000D501A" w:rsidRPr="004A6106">
        <w:rPr>
          <w:lang w:val="fr-CA"/>
        </w:rPr>
        <w:t>Des participants ont aussi indiqué que les mesures d’atténuation actuelles devraient être reconnues comme mesures de protection des zones vitales et que les titulaires de permis devraient pouvoir proposer des mesures pour atteindre les objectifs de sécurité en fonction de leurs EMR.</w:t>
      </w:r>
      <w:r w:rsidRPr="004A6106">
        <w:rPr>
          <w:lang w:val="fr-CA"/>
        </w:rPr>
        <w:t xml:space="preserve"> </w:t>
      </w:r>
    </w:p>
    <w:p w14:paraId="41009972" w14:textId="513D9F99" w:rsidR="006D6CC6" w:rsidRPr="004A6106" w:rsidRDefault="00C60FFD" w:rsidP="00BD10E9">
      <w:pPr>
        <w:pStyle w:val="BodyText"/>
        <w:ind w:left="0"/>
        <w:rPr>
          <w:lang w:val="fr-CA"/>
        </w:rPr>
      </w:pPr>
      <w:r w:rsidRPr="004A6106">
        <w:rPr>
          <w:lang w:val="fr-CA"/>
        </w:rPr>
        <w:t xml:space="preserve">Des participants </w:t>
      </w:r>
      <w:r w:rsidR="00121FF1" w:rsidRPr="004A6106">
        <w:rPr>
          <w:lang w:val="fr-CA"/>
        </w:rPr>
        <w:t>ont aussi exprimé une certaine inquiétude en ce qui a trait aux nouvelles installations proposées</w:t>
      </w:r>
      <w:r w:rsidRPr="004A6106">
        <w:rPr>
          <w:lang w:val="fr-CA"/>
        </w:rPr>
        <w:t xml:space="preserve">, comme les petits réacteurs modulaires (PRM), puisqu’il faudrait adopter une approche axée sur le rendement et </w:t>
      </w:r>
      <w:r w:rsidR="00ED1A84" w:rsidRPr="004A6106">
        <w:rPr>
          <w:lang w:val="fr-CA"/>
        </w:rPr>
        <w:t>tenant compte du</w:t>
      </w:r>
      <w:r w:rsidRPr="004A6106">
        <w:rPr>
          <w:lang w:val="fr-CA"/>
        </w:rPr>
        <w:t xml:space="preserve"> risque </w:t>
      </w:r>
      <w:r w:rsidR="00070820">
        <w:rPr>
          <w:lang w:val="fr-CA"/>
        </w:rPr>
        <w:t>qui comprendrait</w:t>
      </w:r>
      <w:r w:rsidRPr="004A6106">
        <w:rPr>
          <w:lang w:val="fr-CA"/>
        </w:rPr>
        <w:t xml:space="preserve"> des objectifs et des résultats clairs et qui </w:t>
      </w:r>
      <w:r w:rsidR="00121FF1" w:rsidRPr="004A6106">
        <w:rPr>
          <w:lang w:val="fr-CA"/>
        </w:rPr>
        <w:t>serait adaptée aux</w:t>
      </w:r>
      <w:r w:rsidRPr="004A6106">
        <w:rPr>
          <w:lang w:val="fr-CA"/>
        </w:rPr>
        <w:t xml:space="preserve"> mesures d’atténuation comme la sécurité intégrée à la conception. </w:t>
      </w:r>
    </w:p>
    <w:p w14:paraId="061FF756" w14:textId="431D1704" w:rsidR="006D6CC6" w:rsidRDefault="00976FF5" w:rsidP="00BD10E9">
      <w:pPr>
        <w:pStyle w:val="BodyText"/>
        <w:ind w:left="0"/>
        <w:rPr>
          <w:lang w:val="fr-CA"/>
        </w:rPr>
      </w:pPr>
      <w:r w:rsidRPr="004A6106">
        <w:rPr>
          <w:lang w:val="fr-CA"/>
        </w:rPr>
        <w:t>Les participants ont discuté de l</w:t>
      </w:r>
      <w:r w:rsidR="004610F9" w:rsidRPr="004A6106">
        <w:rPr>
          <w:lang w:val="fr-CA"/>
        </w:rPr>
        <w:t>a proposition</w:t>
      </w:r>
      <w:r w:rsidRPr="004A6106">
        <w:rPr>
          <w:lang w:val="fr-CA"/>
        </w:rPr>
        <w:t xml:space="preserve"> d’utiliser les critères d’acceptation des doses pour atteindre les objectifs de sûreté indiqué</w:t>
      </w:r>
      <w:r w:rsidR="00FB52BF" w:rsidRPr="004A6106">
        <w:rPr>
          <w:lang w:val="fr-CA"/>
        </w:rPr>
        <w:t>s</w:t>
      </w:r>
      <w:r w:rsidRPr="004A6106">
        <w:rPr>
          <w:lang w:val="fr-CA"/>
        </w:rPr>
        <w:t xml:space="preserve"> dans le </w:t>
      </w:r>
      <w:hyperlink r:id="rId21" w:history="1">
        <w:r w:rsidRPr="004A6106">
          <w:rPr>
            <w:rStyle w:val="Hyperlink"/>
            <w:lang w:val="fr-CA"/>
          </w:rPr>
          <w:t xml:space="preserve">REGDOC-2.5.2, </w:t>
        </w:r>
        <w:r w:rsidRPr="004A6106">
          <w:rPr>
            <w:rStyle w:val="Hyperlink"/>
            <w:i/>
            <w:iCs/>
            <w:lang w:val="fr-CA"/>
          </w:rPr>
          <w:t>Conception d’installations dotées de réacteurs</w:t>
        </w:r>
      </w:hyperlink>
      <w:r w:rsidRPr="004A6106">
        <w:rPr>
          <w:lang w:val="fr-CA"/>
        </w:rPr>
        <w:t xml:space="preserve"> comme orientation possible pour l’identification des zones vitales. </w:t>
      </w:r>
      <w:r w:rsidR="002B54F1" w:rsidRPr="004A6106">
        <w:rPr>
          <w:lang w:val="fr-CA"/>
        </w:rPr>
        <w:t>Les parties intéressées étaient d’</w:t>
      </w:r>
      <w:r w:rsidR="00070820">
        <w:rPr>
          <w:lang w:val="fr-CA"/>
        </w:rPr>
        <w:t>accord avec l’idée</w:t>
      </w:r>
      <w:r w:rsidR="002B54F1" w:rsidRPr="004A6106">
        <w:rPr>
          <w:lang w:val="fr-CA"/>
        </w:rPr>
        <w:t xml:space="preserve"> d’utiliser le document actuel comme orientation, ce qui permettrait aussi d’harmoniser les critères de sûreté et de sécurité.</w:t>
      </w:r>
      <w:r w:rsidRPr="004A6106">
        <w:rPr>
          <w:lang w:val="fr-CA"/>
        </w:rPr>
        <w:t xml:space="preserve"> </w:t>
      </w:r>
      <w:r w:rsidR="00AD3918" w:rsidRPr="004A6106">
        <w:rPr>
          <w:lang w:val="fr-CA"/>
        </w:rPr>
        <w:t>Les participants ont reconnu qu’il s’agit d’un point particulièrement préoccupant.</w:t>
      </w:r>
      <w:r w:rsidRPr="004A6106">
        <w:rPr>
          <w:lang w:val="fr-CA"/>
        </w:rPr>
        <w:t xml:space="preserve"> </w:t>
      </w:r>
      <w:r w:rsidR="001B1C7E" w:rsidRPr="004A6106">
        <w:rPr>
          <w:lang w:val="fr-CA"/>
        </w:rPr>
        <w:t>C’est pourquoi la proposition d’utiliser les critères d’acceptation des doses du REGDOC‑2.5.2 sera examinée plus en détail et</w:t>
      </w:r>
      <w:r w:rsidR="00BC5CA2" w:rsidRPr="004A6106">
        <w:rPr>
          <w:lang w:val="fr-CA"/>
        </w:rPr>
        <w:t xml:space="preserve"> </w:t>
      </w:r>
      <w:r w:rsidR="001B1C7E" w:rsidRPr="004A6106">
        <w:rPr>
          <w:lang w:val="fr-CA"/>
        </w:rPr>
        <w:t>on élaborera une orientation supplémentaire sur l’identification des zones vitales et les considérations liées à la sécurité intégrée à la conception pour les REGDOC révisés.</w:t>
      </w:r>
    </w:p>
    <w:p w14:paraId="1B4649CB" w14:textId="77777777" w:rsidR="00CC46AF" w:rsidRPr="004A6106" w:rsidRDefault="00CC46AF" w:rsidP="00BD10E9">
      <w:pPr>
        <w:pStyle w:val="BodyText"/>
        <w:ind w:left="0"/>
        <w:rPr>
          <w:lang w:val="fr-CA"/>
        </w:rPr>
      </w:pPr>
    </w:p>
    <w:p w14:paraId="136043DC" w14:textId="489D121D" w:rsidR="006D6CC6" w:rsidRPr="004A6106" w:rsidRDefault="00B22D6A" w:rsidP="00BD10E9">
      <w:pPr>
        <w:pStyle w:val="Heading3"/>
        <w:rPr>
          <w:lang w:val="fr-CA"/>
        </w:rPr>
      </w:pPr>
      <w:r w:rsidRPr="004A6106">
        <w:rPr>
          <w:lang w:val="fr-CA"/>
        </w:rPr>
        <w:t>Mesures de sécurité dans l</w:t>
      </w:r>
      <w:r w:rsidR="00D46B59" w:rsidRPr="004A6106">
        <w:rPr>
          <w:lang w:val="fr-CA"/>
        </w:rPr>
        <w:t>a</w:t>
      </w:r>
      <w:r w:rsidRPr="004A6106">
        <w:rPr>
          <w:lang w:val="fr-CA"/>
        </w:rPr>
        <w:t xml:space="preserve"> zone vitale (article 75) </w:t>
      </w:r>
    </w:p>
    <w:p w14:paraId="6F180970" w14:textId="1C6FD16B" w:rsidR="006D6CC6" w:rsidRPr="004A6106" w:rsidRDefault="00A75884" w:rsidP="00BD10E9">
      <w:pPr>
        <w:pStyle w:val="BodyText"/>
        <w:ind w:left="0"/>
        <w:rPr>
          <w:lang w:val="fr-CA"/>
        </w:rPr>
      </w:pPr>
      <w:r w:rsidRPr="004A6106">
        <w:rPr>
          <w:lang w:val="fr-CA"/>
        </w:rPr>
        <w:t xml:space="preserve">Des participants ont soulevé des préoccupations importantes concernant les exigences proposées en matière de protection physique, affirmant qu’elles sont trop normatives et qu’elles entraîneraient des conséquences opérationnelles et des coûts importants pour leurs installations. </w:t>
      </w:r>
      <w:r w:rsidR="00DC1890" w:rsidRPr="004A6106">
        <w:rPr>
          <w:lang w:val="fr-CA"/>
        </w:rPr>
        <w:t xml:space="preserve">Des participants ont affirmé </w:t>
      </w:r>
      <w:r w:rsidR="00DC1890" w:rsidRPr="004A6106">
        <w:rPr>
          <w:lang w:val="fr-CA"/>
        </w:rPr>
        <w:lastRenderedPageBreak/>
        <w:t>que les mesures de sécurité existantes suffisent et qu’ils n’ont pas constaté de nouvelles menaces ou de risques exigeant l’adoption de nouvelles mesures de sécurité. Ils ont aussi souligné que différentes installations auraient des profils de risques variés nécessitant des mesures de sécurité différentes.</w:t>
      </w:r>
      <w:r w:rsidRPr="004A6106">
        <w:rPr>
          <w:lang w:val="fr-CA"/>
        </w:rPr>
        <w:t xml:space="preserve"> </w:t>
      </w:r>
      <w:r w:rsidR="00281894" w:rsidRPr="004A6106">
        <w:rPr>
          <w:lang w:val="fr-CA"/>
        </w:rPr>
        <w:t>Les demandeurs et les titulaires de permis doivent donc proposer leurs méthodes et garantir la sécurité constante des zones vitales.</w:t>
      </w:r>
      <w:r w:rsidRPr="004A6106">
        <w:rPr>
          <w:lang w:val="fr-CA"/>
        </w:rPr>
        <w:t xml:space="preserve"> </w:t>
      </w:r>
      <w:r w:rsidR="00222E12" w:rsidRPr="004A6106">
        <w:rPr>
          <w:lang w:val="fr-CA"/>
        </w:rPr>
        <w:t>Les participants ont aussi rappelé leurs inquiétudes concernant les PRM</w:t>
      </w:r>
      <w:r w:rsidR="00FB52BF" w:rsidRPr="004A6106">
        <w:rPr>
          <w:lang w:val="fr-CA"/>
        </w:rPr>
        <w:t>,</w:t>
      </w:r>
      <w:r w:rsidR="00222E12" w:rsidRPr="004A6106">
        <w:rPr>
          <w:lang w:val="fr-CA"/>
        </w:rPr>
        <w:t xml:space="preserve"> dont il a été question dans le thème précédent.</w:t>
      </w:r>
    </w:p>
    <w:p w14:paraId="082F0893" w14:textId="182F0237" w:rsidR="006D6CC6" w:rsidRDefault="00D977B6" w:rsidP="00BD10E9">
      <w:pPr>
        <w:pStyle w:val="BodyText"/>
        <w:ind w:left="0"/>
        <w:rPr>
          <w:lang w:val="fr-CA"/>
        </w:rPr>
      </w:pPr>
      <w:r w:rsidRPr="004A6106">
        <w:rPr>
          <w:lang w:val="fr-CA"/>
        </w:rPr>
        <w:t xml:space="preserve">Tous les participants ont reconnu que ces exigences représentent des défis importants et soulèvent des inquiétudes. </w:t>
      </w:r>
      <w:r w:rsidR="00B949DC" w:rsidRPr="004A6106">
        <w:rPr>
          <w:lang w:val="fr-CA"/>
        </w:rPr>
        <w:t>Les participants ont été informé</w:t>
      </w:r>
      <w:r w:rsidR="00FB52BF" w:rsidRPr="004A6106">
        <w:rPr>
          <w:lang w:val="fr-CA"/>
        </w:rPr>
        <w:t>s</w:t>
      </w:r>
      <w:r w:rsidR="00B949DC" w:rsidRPr="004A6106">
        <w:rPr>
          <w:lang w:val="fr-CA"/>
        </w:rPr>
        <w:t xml:space="preserve"> que le but était d’harmoniser les exigences </w:t>
      </w:r>
      <w:r w:rsidR="00070820">
        <w:rPr>
          <w:lang w:val="fr-CA"/>
        </w:rPr>
        <w:t>avec les</w:t>
      </w:r>
      <w:r w:rsidR="00B949DC" w:rsidRPr="004A6106">
        <w:rPr>
          <w:lang w:val="fr-CA"/>
        </w:rPr>
        <w:t xml:space="preserve"> obligations internationales de la CPPMN et d</w:t>
      </w:r>
      <w:r w:rsidR="00F73431">
        <w:rPr>
          <w:lang w:val="fr-CA"/>
        </w:rPr>
        <w:t>e la CSN</w:t>
      </w:r>
      <w:r w:rsidR="00070820">
        <w:rPr>
          <w:lang w:val="fr-CA"/>
        </w:rPr>
        <w:t xml:space="preserve"> </w:t>
      </w:r>
      <w:r w:rsidR="00B949DC" w:rsidRPr="004A6106">
        <w:rPr>
          <w:lang w:val="fr-CA"/>
        </w:rPr>
        <w:t>n</w:t>
      </w:r>
      <w:r w:rsidR="00B949DC" w:rsidRPr="004A6106">
        <w:rPr>
          <w:vertAlign w:val="superscript"/>
          <w:lang w:val="fr-CA"/>
        </w:rPr>
        <w:t>o</w:t>
      </w:r>
      <w:r w:rsidR="00B949DC" w:rsidRPr="004A6106">
        <w:rPr>
          <w:lang w:val="fr-CA"/>
        </w:rPr>
        <w:t> 13 de l</w:t>
      </w:r>
      <w:r w:rsidR="00070820">
        <w:rPr>
          <w:lang w:val="fr-CA"/>
        </w:rPr>
        <w:t>’AIEA</w:t>
      </w:r>
      <w:r w:rsidR="00B949DC" w:rsidRPr="004A6106">
        <w:rPr>
          <w:lang w:val="fr-CA"/>
        </w:rPr>
        <w:t xml:space="preserve"> ainsi qu’aux bonnes pratiques internationales, et de veiller à la cohérence des mesures de sécurité mises en </w:t>
      </w:r>
      <w:r w:rsidR="004610F9" w:rsidRPr="004A6106">
        <w:rPr>
          <w:lang w:val="fr-CA"/>
        </w:rPr>
        <w:t>œ</w:t>
      </w:r>
      <w:r w:rsidR="00B949DC" w:rsidRPr="004A6106">
        <w:rPr>
          <w:lang w:val="fr-CA"/>
        </w:rPr>
        <w:t>uvre dans toutes les installations concernées.</w:t>
      </w:r>
      <w:r w:rsidRPr="004A6106">
        <w:rPr>
          <w:lang w:val="fr-CA"/>
        </w:rPr>
        <w:t xml:space="preserve"> </w:t>
      </w:r>
      <w:r w:rsidR="000D15C9" w:rsidRPr="004A6106">
        <w:rPr>
          <w:lang w:val="fr-CA"/>
        </w:rPr>
        <w:t>Toutefois, tous les participants ont admis qu’il faut mettre en place des exigences davantage axées sur les résultats et accorder une plus grande souplesse relativement à ce point. D’autres propositions ont été soumises et discutées après l’atelier.</w:t>
      </w:r>
      <w:r w:rsidRPr="004A6106">
        <w:rPr>
          <w:lang w:val="fr-CA"/>
        </w:rPr>
        <w:t xml:space="preserve"> </w:t>
      </w:r>
      <w:r w:rsidR="00ED1A84" w:rsidRPr="004A6106">
        <w:rPr>
          <w:lang w:val="fr-CA"/>
        </w:rPr>
        <w:t>Les exigences proposées seront examinées pour s’assurer qu’elles sont appliquées en utilisant une approche axée sur le rendement et tenant compte du risque</w:t>
      </w:r>
      <w:r w:rsidR="00FB52BF" w:rsidRPr="004A6106">
        <w:rPr>
          <w:lang w:val="fr-CA"/>
        </w:rPr>
        <w:t>,</w:t>
      </w:r>
      <w:r w:rsidR="00ED1A84" w:rsidRPr="004A6106">
        <w:rPr>
          <w:lang w:val="fr-CA"/>
        </w:rPr>
        <w:t xml:space="preserve"> et une orientation supplémentaire en ce qui a trait aux mesures de sécurité dans les zones vitales sera ajoutée dans les REGDOC révisés.</w:t>
      </w:r>
    </w:p>
    <w:p w14:paraId="257F2F9B" w14:textId="77777777" w:rsidR="00CC46AF" w:rsidRPr="004A6106" w:rsidRDefault="00CC46AF" w:rsidP="00BD10E9">
      <w:pPr>
        <w:pStyle w:val="BodyText"/>
        <w:ind w:left="0"/>
        <w:rPr>
          <w:lang w:val="fr-CA"/>
        </w:rPr>
      </w:pPr>
    </w:p>
    <w:p w14:paraId="0F689EAF" w14:textId="321FE8B7" w:rsidR="006D6CC6" w:rsidRPr="004A6106" w:rsidRDefault="005C5990" w:rsidP="00BD10E9">
      <w:pPr>
        <w:pStyle w:val="Heading3"/>
        <w:rPr>
          <w:lang w:val="fr-CA"/>
        </w:rPr>
      </w:pPr>
      <w:bookmarkStart w:id="22" w:name="_Barrières_physiques_pour"/>
      <w:bookmarkEnd w:id="22"/>
      <w:r w:rsidRPr="004A6106">
        <w:rPr>
          <w:lang w:val="fr-CA"/>
        </w:rPr>
        <w:t>Barrières physiques pour la zone protégée (article 67)</w:t>
      </w:r>
    </w:p>
    <w:p w14:paraId="3B9C6AA7" w14:textId="16B9643B" w:rsidR="006D6CC6" w:rsidRPr="004A6106" w:rsidRDefault="001902F9" w:rsidP="00BD10E9">
      <w:pPr>
        <w:pStyle w:val="BodyText"/>
        <w:ind w:left="0"/>
        <w:rPr>
          <w:lang w:val="fr-CA"/>
        </w:rPr>
      </w:pPr>
      <w:r w:rsidRPr="004A6106">
        <w:rPr>
          <w:lang w:val="fr-CA"/>
        </w:rPr>
        <w:t>Les participants ont manifesté de l’inquiétude concernant le fait que cette exigence de deux barrières</w:t>
      </w:r>
      <w:r w:rsidRPr="004A6106">
        <w:rPr>
          <w:rStyle w:val="FootnoteReference"/>
          <w:lang w:val="fr-CA"/>
        </w:rPr>
        <w:footnoteReference w:id="15"/>
      </w:r>
      <w:r w:rsidRPr="004A6106">
        <w:rPr>
          <w:lang w:val="fr-CA"/>
        </w:rPr>
        <w:t xml:space="preserve"> est trop normative et nécessiterait des investissements et des travaux importants dans certaines installations qui utilisent actuellement une barrière combinée à d’autres méthodes, conformément aux exigences du RSN en vigueur. </w:t>
      </w:r>
      <w:r w:rsidR="009F2A1C" w:rsidRPr="004A6106">
        <w:rPr>
          <w:lang w:val="fr-CA"/>
        </w:rPr>
        <w:t>De plus, l’exigence proposée aurait une incidence sur les possibles agrandissements d’installations existantes et les compliquerait.</w:t>
      </w:r>
      <w:r w:rsidRPr="004A6106">
        <w:rPr>
          <w:lang w:val="fr-CA"/>
        </w:rPr>
        <w:t xml:space="preserve"> </w:t>
      </w:r>
      <w:r w:rsidR="00C925D5" w:rsidRPr="004A6106">
        <w:rPr>
          <w:lang w:val="fr-CA"/>
        </w:rPr>
        <w:t>Le personnel de la CCSN a informé les parties intéressées que l’objectif était d’inclure des barrières physiques comme moyen de résister aux entrées non autorisées dans la zone protégée.</w:t>
      </w:r>
      <w:r w:rsidRPr="004A6106">
        <w:rPr>
          <w:lang w:val="fr-CA"/>
        </w:rPr>
        <w:t xml:space="preserve"> </w:t>
      </w:r>
      <w:r w:rsidR="00FB52BF" w:rsidRPr="004A6106">
        <w:rPr>
          <w:lang w:val="fr-CA"/>
        </w:rPr>
        <w:t>Il a précisé aux participants qu’une barrière n’est pas nécessairement une clôture et qu’il est possible de combiner différentes barrières pour satisfaire à cette exigence.</w:t>
      </w:r>
      <w:r w:rsidRPr="004A6106">
        <w:rPr>
          <w:lang w:val="fr-CA"/>
        </w:rPr>
        <w:t xml:space="preserve"> </w:t>
      </w:r>
      <w:r w:rsidR="0024276D" w:rsidRPr="004A6106">
        <w:rPr>
          <w:lang w:val="fr-CA"/>
        </w:rPr>
        <w:t>Il a aussi précisé que le but de l’alinéa 67(2)a)</w:t>
      </w:r>
      <w:r w:rsidRPr="004A6106">
        <w:rPr>
          <w:rStyle w:val="FootnoteReference"/>
          <w:lang w:val="fr-CA"/>
        </w:rPr>
        <w:footnoteReference w:id="16"/>
      </w:r>
      <w:r w:rsidR="0024276D" w:rsidRPr="004A6106">
        <w:rPr>
          <w:lang w:val="fr-CA"/>
        </w:rPr>
        <w:t xml:space="preserve"> proposé est d’exiger deux mesures de sécurité différentes, ce qui vient modifier les deux systèmes indépendant</w:t>
      </w:r>
      <w:r w:rsidR="00362999" w:rsidRPr="004A6106">
        <w:rPr>
          <w:lang w:val="fr-CA"/>
        </w:rPr>
        <w:t>s</w:t>
      </w:r>
      <w:r w:rsidR="0024276D" w:rsidRPr="004A6106">
        <w:rPr>
          <w:lang w:val="fr-CA"/>
        </w:rPr>
        <w:t xml:space="preserve"> exigés dans le RSN actuel.</w:t>
      </w:r>
      <w:r w:rsidRPr="004A6106">
        <w:rPr>
          <w:lang w:val="fr-CA"/>
        </w:rPr>
        <w:t xml:space="preserve"> </w:t>
      </w:r>
      <w:r w:rsidR="005D2E4B" w:rsidRPr="004A6106">
        <w:rPr>
          <w:lang w:val="fr-CA"/>
        </w:rPr>
        <w:t xml:space="preserve">Les participants se sont aussi </w:t>
      </w:r>
      <w:proofErr w:type="gramStart"/>
      <w:r w:rsidR="005D2E4B" w:rsidRPr="004A6106">
        <w:rPr>
          <w:lang w:val="fr-CA"/>
        </w:rPr>
        <w:t>dits</w:t>
      </w:r>
      <w:proofErr w:type="gramEnd"/>
      <w:r w:rsidR="005D2E4B" w:rsidRPr="004A6106">
        <w:rPr>
          <w:lang w:val="fr-CA"/>
        </w:rPr>
        <w:t xml:space="preserve"> préoccupés par le coût et les conséquences opérationnelles des changements proposés aux mesures de sécurité.</w:t>
      </w:r>
    </w:p>
    <w:p w14:paraId="7AB462A7" w14:textId="50E09F59" w:rsidR="006D6CC6" w:rsidRPr="004A6106" w:rsidRDefault="00ED52C9" w:rsidP="00BD10E9">
      <w:pPr>
        <w:pStyle w:val="BodyText"/>
        <w:ind w:left="0"/>
        <w:rPr>
          <w:lang w:val="fr-CA"/>
        </w:rPr>
      </w:pPr>
      <w:r w:rsidRPr="004A6106">
        <w:rPr>
          <w:lang w:val="fr-CA"/>
        </w:rPr>
        <w:t xml:space="preserve">Les participants ont recommandé de réviser ces exigences pour qu’elles soient axées sur le rendement. </w:t>
      </w:r>
      <w:r w:rsidR="004C070C" w:rsidRPr="004A6106">
        <w:rPr>
          <w:lang w:val="fr-CA"/>
        </w:rPr>
        <w:t>Les demandeurs et les titulaires de permis pourraient ainsi s’occuper d’évaluer le nombre de barrières et de mesures de sécurité requises en fonction de facteurs comme les temps d’attente et les délais d</w:t>
      </w:r>
      <w:r w:rsidR="00465A42" w:rsidRPr="004A6106">
        <w:rPr>
          <w:lang w:val="fr-CA"/>
        </w:rPr>
        <w:t>’intervention</w:t>
      </w:r>
      <w:r w:rsidR="004C070C" w:rsidRPr="004A6106">
        <w:rPr>
          <w:lang w:val="fr-CA"/>
        </w:rPr>
        <w:t>.</w:t>
      </w:r>
      <w:r w:rsidRPr="004A6106">
        <w:rPr>
          <w:lang w:val="fr-CA"/>
        </w:rPr>
        <w:t xml:space="preserve"> </w:t>
      </w:r>
      <w:r w:rsidR="00754974" w:rsidRPr="004A6106">
        <w:rPr>
          <w:lang w:val="fr-CA"/>
        </w:rPr>
        <w:t>Les renseignements et les commentaires des participants seront examinés pour déterminer si d’autres modifications doivent être apportées à l’exigence proposée.</w:t>
      </w:r>
      <w:r w:rsidRPr="004A6106">
        <w:rPr>
          <w:lang w:val="fr-CA"/>
        </w:rPr>
        <w:t xml:space="preserve"> </w:t>
      </w:r>
      <w:r w:rsidR="00017C91" w:rsidRPr="004A6106">
        <w:rPr>
          <w:lang w:val="fr-CA"/>
        </w:rPr>
        <w:t>En outre, l’orientation proposée pour les REGDOC sera examinée pour s’assurer qu’elle contient l</w:t>
      </w:r>
      <w:r w:rsidR="00070820">
        <w:rPr>
          <w:lang w:val="fr-CA"/>
        </w:rPr>
        <w:t>’orientation</w:t>
      </w:r>
      <w:r w:rsidR="00017C91" w:rsidRPr="004A6106">
        <w:rPr>
          <w:lang w:val="fr-CA"/>
        </w:rPr>
        <w:t xml:space="preserve"> requis</w:t>
      </w:r>
      <w:r w:rsidR="00070820">
        <w:rPr>
          <w:lang w:val="fr-CA"/>
        </w:rPr>
        <w:t>e</w:t>
      </w:r>
      <w:r w:rsidR="00017C91" w:rsidRPr="004A6106">
        <w:rPr>
          <w:lang w:val="fr-CA"/>
        </w:rPr>
        <w:t xml:space="preserve"> relativement aux mesures de sécurité dans les zones protégées et au calcul des temps d’attente.</w:t>
      </w:r>
      <w:r w:rsidRPr="004A6106">
        <w:rPr>
          <w:lang w:val="fr-CA"/>
        </w:rPr>
        <w:t xml:space="preserve"> </w:t>
      </w:r>
    </w:p>
    <w:p w14:paraId="3FBAB2BA" w14:textId="02AB645D" w:rsidR="006D6CC6" w:rsidRPr="004A6106" w:rsidRDefault="008611A2" w:rsidP="00BD10E9">
      <w:pPr>
        <w:pStyle w:val="Heading3"/>
        <w:rPr>
          <w:lang w:val="fr-CA"/>
        </w:rPr>
      </w:pPr>
      <w:r w:rsidRPr="004A6106">
        <w:rPr>
          <w:lang w:val="fr-CA"/>
        </w:rPr>
        <w:lastRenderedPageBreak/>
        <w:t>Alimentation électrique sans interruption (article 66)</w:t>
      </w:r>
    </w:p>
    <w:p w14:paraId="7867589E" w14:textId="40264C78" w:rsidR="006D6CC6" w:rsidRPr="004A6106" w:rsidRDefault="00D15BC2" w:rsidP="00BD10E9">
      <w:pPr>
        <w:pStyle w:val="BodyText"/>
        <w:ind w:left="0"/>
        <w:rPr>
          <w:lang w:val="fr-CA"/>
        </w:rPr>
      </w:pPr>
      <w:r w:rsidRPr="004A6106">
        <w:rPr>
          <w:lang w:val="fr-CA"/>
        </w:rPr>
        <w:t xml:space="preserve">Des participants ont affirmé être préoccupés par le fait que l’exigence proposée relativement à l’alimentation électrique sans </w:t>
      </w:r>
      <w:r w:rsidR="00EC293B">
        <w:rPr>
          <w:lang w:val="fr-CA"/>
        </w:rPr>
        <w:t>interruption</w:t>
      </w:r>
      <w:r w:rsidRPr="004A6106">
        <w:rPr>
          <w:lang w:val="fr-CA"/>
        </w:rPr>
        <w:t xml:space="preserve"> (AS</w:t>
      </w:r>
      <w:r w:rsidR="00EC293B">
        <w:rPr>
          <w:lang w:val="fr-CA"/>
        </w:rPr>
        <w:t>I</w:t>
      </w:r>
      <w:r w:rsidRPr="004A6106">
        <w:rPr>
          <w:lang w:val="fr-CA"/>
        </w:rPr>
        <w:t xml:space="preserve">) pour toutes les mesures de sécurité serait trop générale et que ce ne sont pas toutes les mesures de sécurité qui utilisent actuellement l’ASI en vertu des exigences du RSN en vigueur. </w:t>
      </w:r>
      <w:r w:rsidR="006A23D1" w:rsidRPr="004A6106">
        <w:rPr>
          <w:lang w:val="fr-CA"/>
        </w:rPr>
        <w:t>Ils ont donné l’exemple de certaines installations dont l’éclairage est branché à une génératrice auxiliaire et où il n’y aura pas d’incidence sur la sûreté si les systèmes comme les barrières pour véhicules subissent une coupure de courant.</w:t>
      </w:r>
    </w:p>
    <w:p w14:paraId="2FBF9771" w14:textId="668809F8" w:rsidR="006D6CC6" w:rsidRPr="004A6106" w:rsidRDefault="008C4408" w:rsidP="00BD10E9">
      <w:pPr>
        <w:pStyle w:val="BodyText"/>
        <w:ind w:left="0"/>
        <w:rPr>
          <w:lang w:val="fr-CA"/>
        </w:rPr>
      </w:pPr>
      <w:r w:rsidRPr="004A6106">
        <w:rPr>
          <w:lang w:val="fr-CA"/>
        </w:rPr>
        <w:t xml:space="preserve">Les participants ont été informés que cette exigence s’applique aux mesures de sécurité essentielles et non à toutes les mesures de sécurité des installations. </w:t>
      </w:r>
      <w:r w:rsidR="001B5C32" w:rsidRPr="004A6106">
        <w:rPr>
          <w:lang w:val="fr-CA"/>
        </w:rPr>
        <w:t>Cette exigence sera examinée en tenant compte des renseignements additionnels fournis par les participants pour déterminer si elle doit être modifiée.</w:t>
      </w:r>
      <w:r w:rsidRPr="004A6106">
        <w:rPr>
          <w:lang w:val="fr-CA"/>
        </w:rPr>
        <w:t xml:space="preserve"> </w:t>
      </w:r>
    </w:p>
    <w:p w14:paraId="64218F35" w14:textId="77777777" w:rsidR="006D6CC6" w:rsidRPr="004A6106" w:rsidRDefault="006D6CC6" w:rsidP="00BD10E9">
      <w:pPr>
        <w:pStyle w:val="BodyText"/>
        <w:rPr>
          <w:lang w:val="fr-CA"/>
        </w:rPr>
      </w:pPr>
    </w:p>
    <w:p w14:paraId="767FD731" w14:textId="690CFFFE" w:rsidR="006D6CC6" w:rsidRPr="004A6106" w:rsidRDefault="00C77D1F" w:rsidP="00BD10E9">
      <w:pPr>
        <w:pStyle w:val="Heading3"/>
        <w:rPr>
          <w:lang w:val="fr-CA"/>
        </w:rPr>
      </w:pPr>
      <w:r w:rsidRPr="004A6106">
        <w:rPr>
          <w:lang w:val="fr-CA"/>
        </w:rPr>
        <w:t>Sas pour véhicule (définitions et article 90)</w:t>
      </w:r>
    </w:p>
    <w:p w14:paraId="216F6512" w14:textId="52794F44" w:rsidR="006D6CC6" w:rsidRPr="004A6106" w:rsidRDefault="005704D4" w:rsidP="00BD10E9">
      <w:pPr>
        <w:pStyle w:val="BodyText"/>
        <w:ind w:left="0"/>
        <w:rPr>
          <w:lang w:val="fr-CA"/>
        </w:rPr>
      </w:pPr>
      <w:r w:rsidRPr="004A6106">
        <w:rPr>
          <w:lang w:val="fr-CA"/>
        </w:rPr>
        <w:t xml:space="preserve">Des participants se sont </w:t>
      </w:r>
      <w:proofErr w:type="gramStart"/>
      <w:r w:rsidRPr="004A6106">
        <w:rPr>
          <w:lang w:val="fr-CA"/>
        </w:rPr>
        <w:t>dits</w:t>
      </w:r>
      <w:proofErr w:type="gramEnd"/>
      <w:r w:rsidRPr="004A6106">
        <w:rPr>
          <w:lang w:val="fr-CA"/>
        </w:rPr>
        <w:t xml:space="preserve"> préoccupés par la modification proposée de la définition de « sas pour véhicule », puisqu’elle occasionnerait d’importants travaux de construction afin de reconfigurer les sas et les barrières pour les véhicules, qui ont été conçus selon les exigences actuelles.</w:t>
      </w:r>
    </w:p>
    <w:p w14:paraId="4985172A" w14:textId="4FFEEB1E" w:rsidR="006D6CC6" w:rsidRPr="004A6106" w:rsidRDefault="001D2FFC" w:rsidP="00BD10E9">
      <w:pPr>
        <w:pStyle w:val="BodyText"/>
        <w:ind w:left="0"/>
        <w:rPr>
          <w:lang w:val="fr-CA"/>
        </w:rPr>
      </w:pPr>
      <w:r w:rsidRPr="004A6106">
        <w:rPr>
          <w:lang w:val="fr-CA"/>
        </w:rPr>
        <w:t xml:space="preserve">Les participants ont été informés que le but des exigences est que le titulaire de permis démontre les méthodes qu’il utilise pour sécuriser les sas des véhicules sur le site et le changement proposé à la définition sera examiné pour déterminer si d’autres modifications sont nécessaires.  </w:t>
      </w:r>
    </w:p>
    <w:p w14:paraId="11D685DF" w14:textId="2F241B16" w:rsidR="006D6CC6" w:rsidRDefault="001C6DFD" w:rsidP="00BD10E9">
      <w:pPr>
        <w:pStyle w:val="BodyText"/>
        <w:ind w:left="0"/>
        <w:rPr>
          <w:lang w:val="fr-CA"/>
        </w:rPr>
      </w:pPr>
      <w:r w:rsidRPr="004A6106">
        <w:rPr>
          <w:lang w:val="fr-CA"/>
        </w:rPr>
        <w:t xml:space="preserve">Veuillez consulter la section </w:t>
      </w:r>
      <w:hyperlink w:anchor="_Barrières_physiques_pour" w:history="1">
        <w:r w:rsidRPr="004A6106">
          <w:rPr>
            <w:rStyle w:val="Hyperlink"/>
            <w:lang w:val="fr-CA"/>
          </w:rPr>
          <w:t>Barrières physiques pour la zone protégée (article 67)</w:t>
        </w:r>
      </w:hyperlink>
      <w:r w:rsidRPr="004A6106">
        <w:rPr>
          <w:lang w:val="fr-CA"/>
        </w:rPr>
        <w:t xml:space="preserve"> pour des détails supplémentaires concernant les barrières physique</w:t>
      </w:r>
      <w:r w:rsidR="00A52B94" w:rsidRPr="004A6106">
        <w:rPr>
          <w:lang w:val="fr-CA"/>
        </w:rPr>
        <w:t>s</w:t>
      </w:r>
      <w:r w:rsidRPr="004A6106">
        <w:rPr>
          <w:lang w:val="fr-CA"/>
        </w:rPr>
        <w:t xml:space="preserve"> dans la zone protégée</w:t>
      </w:r>
      <w:r w:rsidR="00E30CE3" w:rsidRPr="004A6106">
        <w:rPr>
          <w:lang w:val="fr-CA"/>
        </w:rPr>
        <w:t>.</w:t>
      </w:r>
    </w:p>
    <w:p w14:paraId="35EED9EE" w14:textId="77777777" w:rsidR="00CC46AF" w:rsidRPr="004A6106" w:rsidRDefault="00CC46AF" w:rsidP="00BD10E9">
      <w:pPr>
        <w:pStyle w:val="BodyText"/>
        <w:ind w:left="0"/>
        <w:rPr>
          <w:lang w:val="fr-CA"/>
        </w:rPr>
      </w:pPr>
    </w:p>
    <w:p w14:paraId="6EA66F15" w14:textId="2582EE83" w:rsidR="006D6CC6" w:rsidRPr="004A6106" w:rsidRDefault="001C6DFD" w:rsidP="00BD10E9">
      <w:pPr>
        <w:pStyle w:val="Heading3"/>
        <w:rPr>
          <w:lang w:val="fr-CA"/>
        </w:rPr>
      </w:pPr>
      <w:r w:rsidRPr="004A6106">
        <w:rPr>
          <w:lang w:val="fr-CA"/>
        </w:rPr>
        <w:t>Autorisations pour l</w:t>
      </w:r>
      <w:r w:rsidR="00D46B59" w:rsidRPr="004A6106">
        <w:rPr>
          <w:lang w:val="fr-CA"/>
        </w:rPr>
        <w:t>a</w:t>
      </w:r>
      <w:r w:rsidRPr="004A6106">
        <w:rPr>
          <w:lang w:val="fr-CA"/>
        </w:rPr>
        <w:t xml:space="preserve"> zone vitale (articles 52, 53, 83 et 84)</w:t>
      </w:r>
    </w:p>
    <w:p w14:paraId="020063DB" w14:textId="5D5B8B45" w:rsidR="006D6CC6" w:rsidRPr="004A6106" w:rsidRDefault="00235FB0" w:rsidP="00BD10E9">
      <w:pPr>
        <w:pStyle w:val="BodyText"/>
        <w:ind w:left="0"/>
        <w:rPr>
          <w:lang w:val="fr-CA"/>
        </w:rPr>
      </w:pPr>
      <w:r w:rsidRPr="004A6106">
        <w:rPr>
          <w:lang w:val="fr-CA"/>
        </w:rPr>
        <w:t xml:space="preserve">Des participants ont manifesté de l’inquiétude concernant l’exigence proposée que les membres du personnel doivent posséder une autorisation de niveau très secret pour entrer dans </w:t>
      </w:r>
      <w:r w:rsidR="00C726D3" w:rsidRPr="004A6106">
        <w:rPr>
          <w:lang w:val="fr-CA"/>
        </w:rPr>
        <w:t>une</w:t>
      </w:r>
      <w:r w:rsidRPr="004A6106">
        <w:rPr>
          <w:lang w:val="fr-CA"/>
        </w:rPr>
        <w:t xml:space="preserve"> zone vitale et ils ont été informés que la référence à la cote de sécurité de niveau </w:t>
      </w:r>
      <w:r w:rsidR="00DC669C" w:rsidRPr="004A6106">
        <w:rPr>
          <w:lang w:val="fr-CA"/>
        </w:rPr>
        <w:t>t</w:t>
      </w:r>
      <w:r w:rsidRPr="004A6106">
        <w:rPr>
          <w:lang w:val="fr-CA"/>
        </w:rPr>
        <w:t xml:space="preserve">rès secret en vertu de la </w:t>
      </w:r>
      <w:hyperlink r:id="rId22" w:history="1">
        <w:r w:rsidRPr="004A6106">
          <w:rPr>
            <w:rStyle w:val="Hyperlink"/>
            <w:i/>
            <w:iCs/>
            <w:lang w:val="fr-CA"/>
          </w:rPr>
          <w:t>Norme sur le filtrage de sécurité</w:t>
        </w:r>
      </w:hyperlink>
      <w:r w:rsidRPr="004A6106">
        <w:rPr>
          <w:lang w:val="fr-CA"/>
        </w:rPr>
        <w:t xml:space="preserve"> sera supprimée, puisque le but de cette exigence n’</w:t>
      </w:r>
      <w:r w:rsidR="00EC293B">
        <w:rPr>
          <w:lang w:val="fr-CA"/>
        </w:rPr>
        <w:t>est</w:t>
      </w:r>
      <w:r w:rsidRPr="004A6106">
        <w:rPr>
          <w:lang w:val="fr-CA"/>
        </w:rPr>
        <w:t xml:space="preserve"> pas d’exiger une autorisation de niveau très secret, mais bien de permettre au titulaire de permis de reconnaître la cote de sécurité de niveau </w:t>
      </w:r>
      <w:r w:rsidR="00DC669C" w:rsidRPr="004A6106">
        <w:rPr>
          <w:lang w:val="fr-CA"/>
        </w:rPr>
        <w:t>t</w:t>
      </w:r>
      <w:r w:rsidRPr="004A6106">
        <w:rPr>
          <w:lang w:val="fr-CA"/>
        </w:rPr>
        <w:t xml:space="preserve">rès secret du gouvernement comme un équivalent. </w:t>
      </w:r>
      <w:r w:rsidR="00E25505" w:rsidRPr="004A6106">
        <w:rPr>
          <w:lang w:val="fr-CA"/>
        </w:rPr>
        <w:t xml:space="preserve">On a précisé aux participants que la seule modification de l’accès à la zone vitale proposée relativement à l’autorisation de sécurité approfondie est la vérification du crédit, ce qui concorde avec la </w:t>
      </w:r>
      <w:hyperlink r:id="rId23" w:history="1">
        <w:r w:rsidR="00163868" w:rsidRPr="004A6106">
          <w:rPr>
            <w:rStyle w:val="Hyperlink"/>
            <w:i/>
            <w:iCs/>
            <w:lang w:val="fr-CA"/>
          </w:rPr>
          <w:t>Norme sur le filtrage de sécurité</w:t>
        </w:r>
      </w:hyperlink>
      <w:r w:rsidR="00E25505" w:rsidRPr="004A6106">
        <w:rPr>
          <w:rStyle w:val="Hyperlink"/>
          <w:iCs/>
          <w:u w:val="none"/>
          <w:lang w:val="fr-CA"/>
        </w:rPr>
        <w:t xml:space="preserve"> </w:t>
      </w:r>
      <w:r w:rsidR="00E25505" w:rsidRPr="004A6106">
        <w:rPr>
          <w:lang w:val="fr-CA"/>
        </w:rPr>
        <w:t>et les bonnes pratiques de l’industrie. Les participants ont été informés que la réalisation d’une vérification du crédit dans le cadre d’une évaluation de la sécurité aide à déterminer la fiabilité d’une personne, en particulier sur le plan des rôles et des responsabilités liés à la sécurité, puisque des obligations ou des pressions financières pourraient représenter un risque pour la sécurité et doivent donc faire partie de l’évaluation globale.</w:t>
      </w:r>
      <w:r w:rsidRPr="004A6106">
        <w:rPr>
          <w:lang w:val="fr-CA"/>
        </w:rPr>
        <w:t xml:space="preserve"> </w:t>
      </w:r>
      <w:r w:rsidR="001060EF" w:rsidRPr="004A6106">
        <w:rPr>
          <w:lang w:val="fr-CA"/>
        </w:rPr>
        <w:t>On a indiqué aux participants que cette exigence serait peu coûteuse, bien que certains frais administratifs découleraient des changements programmatiques.</w:t>
      </w:r>
    </w:p>
    <w:p w14:paraId="64037956" w14:textId="0D2BB6AF" w:rsidR="006D6CC6" w:rsidRPr="004A6106" w:rsidRDefault="00E24F66" w:rsidP="00BD10E9">
      <w:pPr>
        <w:pStyle w:val="BodyText"/>
        <w:ind w:left="0"/>
        <w:rPr>
          <w:lang w:val="fr-CA"/>
        </w:rPr>
      </w:pPr>
      <w:r w:rsidRPr="004A6106">
        <w:rPr>
          <w:lang w:val="fr-CA"/>
        </w:rPr>
        <w:t xml:space="preserve">Des participants ont affirmé qu’il serait toujours nécessaire qu’un grand nombre d’employés accèdent aux zones vitales dans certaines situations d’urgence et se sont </w:t>
      </w:r>
      <w:proofErr w:type="gramStart"/>
      <w:r w:rsidRPr="004A6106">
        <w:rPr>
          <w:lang w:val="fr-CA"/>
        </w:rPr>
        <w:t>dits</w:t>
      </w:r>
      <w:proofErr w:type="gramEnd"/>
      <w:r w:rsidRPr="004A6106">
        <w:rPr>
          <w:lang w:val="fr-CA"/>
        </w:rPr>
        <w:t xml:space="preserve"> préoccupés par les problèmes possibles liés au respect de la vie privée ou à la main-d’</w:t>
      </w:r>
      <w:r w:rsidR="004610F9" w:rsidRPr="004A6106">
        <w:rPr>
          <w:lang w:val="fr-CA"/>
        </w:rPr>
        <w:t>œ</w:t>
      </w:r>
      <w:r w:rsidRPr="004A6106">
        <w:rPr>
          <w:lang w:val="fr-CA"/>
        </w:rPr>
        <w:t xml:space="preserve">uvre en raison des nouvelles vérifications du crédit. </w:t>
      </w:r>
      <w:r w:rsidR="00890154" w:rsidRPr="004A6106">
        <w:rPr>
          <w:lang w:val="fr-CA"/>
        </w:rPr>
        <w:t>Des participants ont aussi fait valoir que les vérifications du crédit n’auront peut-être qu’un intérêt limité pour les autorisations de niveau secret et qu’elles ne fourniront peut-être pas les renseignements nécessaires pour évaluer les menaces internes.</w:t>
      </w:r>
      <w:r w:rsidRPr="004A6106">
        <w:rPr>
          <w:lang w:val="fr-CA"/>
        </w:rPr>
        <w:t xml:space="preserve"> </w:t>
      </w:r>
    </w:p>
    <w:p w14:paraId="7452BB99" w14:textId="42AEF942" w:rsidR="006D6CC6" w:rsidRDefault="00A52B94" w:rsidP="00BD10E9">
      <w:pPr>
        <w:pStyle w:val="BodyText"/>
        <w:ind w:left="0"/>
        <w:rPr>
          <w:rStyle w:val="Hyperlink"/>
          <w:rFonts w:eastAsia="Times New Roman" w:cs="Times New Roman"/>
          <w:u w:val="none"/>
          <w:lang w:val="fr-CA"/>
        </w:rPr>
      </w:pPr>
      <w:r w:rsidRPr="004A6106">
        <w:rPr>
          <w:lang w:val="fr-CA"/>
        </w:rPr>
        <w:lastRenderedPageBreak/>
        <w:t xml:space="preserve">Le règlement proposé sera examiné pour en garantir la clarté quant aux nouvelles exigences proposées en matière de filtrage et des précisions ainsi </w:t>
      </w:r>
      <w:proofErr w:type="gramStart"/>
      <w:r w:rsidRPr="004A6106">
        <w:rPr>
          <w:lang w:val="fr-CA"/>
        </w:rPr>
        <w:t>qu’une orientation additionnelles</w:t>
      </w:r>
      <w:proofErr w:type="gramEnd"/>
      <w:r w:rsidRPr="004A6106">
        <w:rPr>
          <w:lang w:val="fr-CA"/>
        </w:rPr>
        <w:t xml:space="preserve"> concernant la cote et les autorisations d’accès au site seront ajoutées dans les REGDOC révisés. </w:t>
      </w:r>
      <w:r w:rsidR="00D91B90" w:rsidRPr="004A6106">
        <w:rPr>
          <w:lang w:val="fr-CA"/>
        </w:rPr>
        <w:t>Une orientation préliminaire sur ces points a été proposée dans le document de travail de la CCSN</w:t>
      </w:r>
      <w:r w:rsidR="004610F9" w:rsidRPr="004A6106">
        <w:rPr>
          <w:lang w:val="fr-CA"/>
        </w:rPr>
        <w:t> </w:t>
      </w:r>
      <w:hyperlink r:id="rId24" w:history="1">
        <w:r w:rsidR="00D91B90" w:rsidRPr="004A6106">
          <w:rPr>
            <w:rStyle w:val="Hyperlink"/>
            <w:rFonts w:eastAsia="Times New Roman" w:cs="Times New Roman"/>
            <w:lang w:val="fr-CA"/>
          </w:rPr>
          <w:t xml:space="preserve">DIS-22-02, </w:t>
        </w:r>
        <w:r w:rsidR="00D91B90" w:rsidRPr="004A6106">
          <w:rPr>
            <w:rStyle w:val="Hyperlink"/>
            <w:rFonts w:eastAsia="Times New Roman" w:cs="Times New Roman"/>
            <w:i/>
            <w:iCs/>
            <w:lang w:val="fr-CA"/>
          </w:rPr>
          <w:t>Propositions de</w:t>
        </w:r>
        <w:r w:rsidR="00D91B90" w:rsidRPr="004A6106">
          <w:rPr>
            <w:rStyle w:val="Hyperlink"/>
            <w:rFonts w:eastAsia="Times New Roman" w:cs="Times New Roman"/>
            <w:lang w:val="fr-CA"/>
          </w:rPr>
          <w:t xml:space="preserve"> </w:t>
        </w:r>
        <w:r w:rsidR="00D91B90" w:rsidRPr="004A6106">
          <w:rPr>
            <w:rStyle w:val="Hyperlink"/>
            <w:rFonts w:eastAsia="Times New Roman" w:cs="Times New Roman"/>
            <w:i/>
            <w:iCs/>
            <w:lang w:val="fr-CA"/>
          </w:rPr>
          <w:t>modification de la série de REGDOC</w:t>
        </w:r>
        <w:r w:rsidR="004610F9" w:rsidRPr="004A6106">
          <w:rPr>
            <w:rStyle w:val="Hyperlink"/>
            <w:rFonts w:eastAsia="Times New Roman" w:cs="Times New Roman"/>
            <w:i/>
            <w:iCs/>
            <w:lang w:val="fr-CA"/>
          </w:rPr>
          <w:t> </w:t>
        </w:r>
        <w:r w:rsidR="00D91B90" w:rsidRPr="004A6106">
          <w:rPr>
            <w:rStyle w:val="Hyperlink"/>
            <w:rFonts w:eastAsia="Times New Roman" w:cs="Times New Roman"/>
            <w:i/>
            <w:iCs/>
            <w:lang w:val="fr-CA"/>
          </w:rPr>
          <w:t>2.12 sur la sécurité nucléaire</w:t>
        </w:r>
      </w:hyperlink>
      <w:r w:rsidR="00D91B90" w:rsidRPr="004A6106">
        <w:rPr>
          <w:rStyle w:val="Hyperlink"/>
          <w:rFonts w:eastAsia="Times New Roman" w:cs="Times New Roman"/>
          <w:u w:val="none"/>
          <w:lang w:val="fr-CA"/>
        </w:rPr>
        <w:t>.</w:t>
      </w:r>
    </w:p>
    <w:p w14:paraId="45866B36" w14:textId="77777777" w:rsidR="00CC46AF" w:rsidRPr="004A6106" w:rsidRDefault="00CC46AF" w:rsidP="00BD10E9">
      <w:pPr>
        <w:pStyle w:val="BodyText"/>
        <w:ind w:left="0"/>
        <w:rPr>
          <w:lang w:val="fr-CA"/>
        </w:rPr>
      </w:pPr>
    </w:p>
    <w:p w14:paraId="3747E0C6" w14:textId="7A9428B8" w:rsidR="006D6CC6" w:rsidRPr="004A6106" w:rsidRDefault="00B961ED" w:rsidP="00BD10E9">
      <w:pPr>
        <w:pStyle w:val="Heading3"/>
        <w:rPr>
          <w:lang w:val="fr-CA"/>
        </w:rPr>
      </w:pPr>
      <w:r w:rsidRPr="004A6106">
        <w:rPr>
          <w:lang w:val="fr-CA"/>
        </w:rPr>
        <w:t>Autorisations pour les préposés à la sécurité nucléaire (article 61)</w:t>
      </w:r>
    </w:p>
    <w:p w14:paraId="5B86E432" w14:textId="1E6F5FF7" w:rsidR="006D6CC6" w:rsidRPr="004A6106" w:rsidRDefault="00DC669C" w:rsidP="00BD10E9">
      <w:pPr>
        <w:pStyle w:val="BodyText"/>
        <w:ind w:left="0"/>
        <w:rPr>
          <w:lang w:val="fr-CA"/>
        </w:rPr>
      </w:pPr>
      <w:r w:rsidRPr="004A6106">
        <w:rPr>
          <w:lang w:val="fr-CA"/>
        </w:rPr>
        <w:t xml:space="preserve">Des participants ont soulevé plusieurs préoccupations concernant les exigences proposées relativement aux préposés à la sécurité nucléaire (PSN), notamment en ce qui a trait à la définition générale du poste, au fait que ce terme pourrait s’appliquer à un large éventail d’employés des titulaires de permis et au fait que de nombreuses exigences physiques, psychologiques et médicales sont peut-être inutiles. </w:t>
      </w:r>
      <w:r w:rsidR="00DC3B32" w:rsidRPr="004A6106">
        <w:rPr>
          <w:lang w:val="fr-CA"/>
        </w:rPr>
        <w:t>On a confirmé que les exigences physiques, psychologiques et médicales susmentionnées seraient supprimées de cette disposition.</w:t>
      </w:r>
    </w:p>
    <w:p w14:paraId="60ED2AF4" w14:textId="67B68029" w:rsidR="006D6CC6" w:rsidRPr="004A6106" w:rsidRDefault="003524CB" w:rsidP="00BD10E9">
      <w:pPr>
        <w:pStyle w:val="BodyText"/>
        <w:ind w:left="0"/>
        <w:rPr>
          <w:lang w:val="fr-CA"/>
        </w:rPr>
      </w:pPr>
      <w:r w:rsidRPr="004A6106">
        <w:rPr>
          <w:lang w:val="fr-CA"/>
        </w:rPr>
        <w:t xml:space="preserve">Des participants ont demandé comment l’exigence proposée s’appliquerait au personnel en visite provenant d’un autre pays et si le personnel responsable de la cybersécurité serait visé. </w:t>
      </w:r>
      <w:r w:rsidR="009D4392" w:rsidRPr="004A6106">
        <w:rPr>
          <w:lang w:val="fr-CA"/>
        </w:rPr>
        <w:t>On a informé les participants que le personnel chargé de la cybersécurité pourrait être inclus et qu’il incomberait aux titulaires de permis de déterminer quelles personnes ou tâches devraient être visées.</w:t>
      </w:r>
      <w:r w:rsidRPr="004A6106">
        <w:rPr>
          <w:lang w:val="fr-CA"/>
        </w:rPr>
        <w:t xml:space="preserve"> </w:t>
      </w:r>
      <w:r w:rsidR="003661A5" w:rsidRPr="004A6106">
        <w:rPr>
          <w:lang w:val="fr-CA"/>
        </w:rPr>
        <w:t>Des participants ont suggéré de retirer certaines descriptions d’emploi, comme le personnel d’aide à la construction</w:t>
      </w:r>
      <w:r w:rsidR="00180E3D" w:rsidRPr="004A6106">
        <w:rPr>
          <w:lang w:val="fr-CA"/>
        </w:rPr>
        <w:t>,</w:t>
      </w:r>
      <w:r w:rsidR="003661A5" w:rsidRPr="004A6106">
        <w:rPr>
          <w:lang w:val="fr-CA"/>
        </w:rPr>
        <w:t xml:space="preserve"> et ont demandé comment l’exigence proposée s’appliquerait au personnel des fournisseurs.</w:t>
      </w:r>
      <w:r w:rsidRPr="004A6106">
        <w:rPr>
          <w:lang w:val="fr-CA"/>
        </w:rPr>
        <w:t xml:space="preserve"> </w:t>
      </w:r>
      <w:r w:rsidR="003A2476" w:rsidRPr="004A6106">
        <w:rPr>
          <w:lang w:val="fr-CA"/>
        </w:rPr>
        <w:t>On a informé les participants que cette proposition ne s’appliquerait qu’au personnel de l’installation.</w:t>
      </w:r>
      <w:r w:rsidRPr="004A6106">
        <w:rPr>
          <w:lang w:val="fr-CA"/>
        </w:rPr>
        <w:t xml:space="preserve"> </w:t>
      </w:r>
    </w:p>
    <w:p w14:paraId="0595B5D9" w14:textId="736EC67A" w:rsidR="006D6CC6" w:rsidRDefault="00A56916" w:rsidP="00BD10E9">
      <w:pPr>
        <w:pStyle w:val="BodyText"/>
        <w:ind w:left="0"/>
        <w:rPr>
          <w:lang w:val="fr-CA"/>
        </w:rPr>
      </w:pPr>
      <w:r w:rsidRPr="004A6106">
        <w:rPr>
          <w:lang w:val="fr-CA"/>
        </w:rPr>
        <w:t>La portée des exigences proposées sera examinée pour s’assurer qu’elle est réalisable et adaptée</w:t>
      </w:r>
      <w:r w:rsidR="00EC293B">
        <w:rPr>
          <w:lang w:val="fr-CA"/>
        </w:rPr>
        <w:t>,</w:t>
      </w:r>
      <w:r w:rsidRPr="004A6106">
        <w:rPr>
          <w:lang w:val="fr-CA"/>
        </w:rPr>
        <w:t xml:space="preserve"> et des précisions</w:t>
      </w:r>
      <w:r w:rsidR="00EC293B">
        <w:rPr>
          <w:lang w:val="fr-CA"/>
        </w:rPr>
        <w:t xml:space="preserve"> </w:t>
      </w:r>
      <w:r w:rsidRPr="004A6106">
        <w:rPr>
          <w:lang w:val="fr-CA"/>
        </w:rPr>
        <w:t xml:space="preserve">et une orientation additionnelles concernant la portée des postes de PSN et des autorisations seront ajoutées dans les REGDOC révisés. </w:t>
      </w:r>
      <w:r w:rsidR="00180E3D" w:rsidRPr="004A6106">
        <w:rPr>
          <w:lang w:val="fr-CA"/>
        </w:rPr>
        <w:t>Un examen spécifique sera réalisé et une attention particulière sera portée afin de déterminer s’il faut exclure de cette exigence les postes liés à l’aide à la construction.</w:t>
      </w:r>
      <w:r w:rsidRPr="004A6106">
        <w:rPr>
          <w:lang w:val="fr-CA"/>
        </w:rPr>
        <w:t xml:space="preserve"> </w:t>
      </w:r>
    </w:p>
    <w:p w14:paraId="38C64A9F" w14:textId="77777777" w:rsidR="00CC46AF" w:rsidRPr="004A6106" w:rsidRDefault="00CC46AF" w:rsidP="00BD10E9">
      <w:pPr>
        <w:pStyle w:val="BodyText"/>
        <w:ind w:left="0"/>
        <w:rPr>
          <w:lang w:val="fr-CA"/>
        </w:rPr>
      </w:pPr>
    </w:p>
    <w:p w14:paraId="27D67CC8" w14:textId="2902A68C" w:rsidR="006D6CC6" w:rsidRPr="004A6106" w:rsidRDefault="007F63CF" w:rsidP="00BD10E9">
      <w:pPr>
        <w:pStyle w:val="Heading3"/>
        <w:rPr>
          <w:lang w:val="fr-CA"/>
        </w:rPr>
      </w:pPr>
      <w:r w:rsidRPr="004A6106">
        <w:rPr>
          <w:lang w:val="fr-CA"/>
        </w:rPr>
        <w:t>Mesures de sécurité et escortes dans la zone intérieure (articles 72 et 81)</w:t>
      </w:r>
    </w:p>
    <w:p w14:paraId="6A7DDB59" w14:textId="36A1B45A" w:rsidR="006D6CC6" w:rsidRPr="004A6106" w:rsidRDefault="001A19A9" w:rsidP="00BD10E9">
      <w:pPr>
        <w:pStyle w:val="BodyText"/>
        <w:ind w:left="0"/>
        <w:rPr>
          <w:lang w:val="fr-CA"/>
        </w:rPr>
      </w:pPr>
      <w:r w:rsidRPr="004A6106">
        <w:rPr>
          <w:lang w:val="fr-CA"/>
        </w:rPr>
        <w:t xml:space="preserve">Les participants ont manifesté de l’inquiétude </w:t>
      </w:r>
      <w:r w:rsidR="00212327" w:rsidRPr="004A6106">
        <w:rPr>
          <w:lang w:val="fr-CA"/>
        </w:rPr>
        <w:t>parce</w:t>
      </w:r>
      <w:r w:rsidRPr="004A6106">
        <w:rPr>
          <w:lang w:val="fr-CA"/>
        </w:rPr>
        <w:t xml:space="preserve"> que ces articles </w:t>
      </w:r>
      <w:r w:rsidR="00212327" w:rsidRPr="004A6106">
        <w:rPr>
          <w:lang w:val="fr-CA"/>
        </w:rPr>
        <w:t xml:space="preserve">pourraient </w:t>
      </w:r>
      <w:r w:rsidRPr="004A6106">
        <w:rPr>
          <w:lang w:val="fr-CA"/>
        </w:rPr>
        <w:t>entraîn</w:t>
      </w:r>
      <w:r w:rsidR="00212327" w:rsidRPr="004A6106">
        <w:rPr>
          <w:lang w:val="fr-CA"/>
        </w:rPr>
        <w:t>er</w:t>
      </w:r>
      <w:r w:rsidRPr="004A6106">
        <w:rPr>
          <w:lang w:val="fr-CA"/>
        </w:rPr>
        <w:t xml:space="preserve"> une augmentation très normative des exigences actuelles en matière d’escorte. </w:t>
      </w:r>
      <w:r w:rsidR="0082383F" w:rsidRPr="004A6106">
        <w:rPr>
          <w:lang w:val="fr-CA"/>
        </w:rPr>
        <w:t xml:space="preserve">Plus précisément, l’exigence proposée d’être escorté en tout temps par un agent de sécurité nucléaire (ASN) </w:t>
      </w:r>
      <w:proofErr w:type="gramStart"/>
      <w:r w:rsidR="0082383F" w:rsidRPr="004A6106">
        <w:rPr>
          <w:lang w:val="fr-CA"/>
        </w:rPr>
        <w:t>aurait</w:t>
      </w:r>
      <w:proofErr w:type="gramEnd"/>
      <w:r w:rsidR="0082383F" w:rsidRPr="004A6106">
        <w:rPr>
          <w:lang w:val="fr-CA"/>
        </w:rPr>
        <w:t xml:space="preserve"> des conséquences opérationnelles puisqu’il serait nécessaire d’embaucher de façon permanente des ASN supplémentaires. Les participants ne voyaient pas l’avantage pour la sécurité de cette exigence étant donné les mesures de sécurité et de filtrage existantes.</w:t>
      </w:r>
      <w:r w:rsidRPr="004A6106">
        <w:rPr>
          <w:lang w:val="fr-CA"/>
        </w:rPr>
        <w:t xml:space="preserve"> </w:t>
      </w:r>
    </w:p>
    <w:p w14:paraId="7954C53D" w14:textId="62D9C083" w:rsidR="006D6CC6" w:rsidRPr="004A6106" w:rsidRDefault="007404EB" w:rsidP="00BD10E9">
      <w:pPr>
        <w:pStyle w:val="BodyText"/>
        <w:ind w:left="0"/>
        <w:rPr>
          <w:lang w:val="fr-CA"/>
        </w:rPr>
      </w:pPr>
      <w:r w:rsidRPr="004A6106">
        <w:rPr>
          <w:lang w:val="fr-CA"/>
        </w:rPr>
        <w:t xml:space="preserve">On a informé les participants que le but de l’exigence proposée était d’assurer les communications et une intervention en cas d’événement interne ou d’urgence médicale pour les travailleurs de la zone intérieure. </w:t>
      </w:r>
      <w:r w:rsidR="005A5880" w:rsidRPr="004A6106">
        <w:rPr>
          <w:lang w:val="fr-CA"/>
        </w:rPr>
        <w:t>Des participants ont indiqué qu’ils suivent actuellement l’orientation sur la « règle des deux personnes »</w:t>
      </w:r>
      <w:r w:rsidRPr="004A6106">
        <w:rPr>
          <w:rStyle w:val="FootnoteReference"/>
          <w:lang w:val="fr-CA"/>
        </w:rPr>
        <w:footnoteReference w:id="17"/>
      </w:r>
      <w:r w:rsidR="005A5880" w:rsidRPr="004A6106">
        <w:rPr>
          <w:lang w:val="fr-CA"/>
        </w:rPr>
        <w:t xml:space="preserve"> décrite dans l</w:t>
      </w:r>
      <w:r w:rsidR="00EC293B">
        <w:rPr>
          <w:lang w:val="fr-CA"/>
        </w:rPr>
        <w:t>a</w:t>
      </w:r>
      <w:r w:rsidR="005A5880" w:rsidRPr="004A6106">
        <w:rPr>
          <w:lang w:val="fr-CA"/>
        </w:rPr>
        <w:t xml:space="preserve"> </w:t>
      </w:r>
      <w:hyperlink r:id="rId25" w:history="1">
        <w:r w:rsidR="00EC293B">
          <w:rPr>
            <w:rStyle w:val="Hyperlink"/>
            <w:lang w:val="fr-CA"/>
          </w:rPr>
          <w:t>CSN</w:t>
        </w:r>
        <w:r w:rsidR="005A5880" w:rsidRPr="004A6106">
          <w:rPr>
            <w:rStyle w:val="Hyperlink"/>
            <w:lang w:val="fr-CA"/>
          </w:rPr>
          <w:t xml:space="preserve"> n</w:t>
        </w:r>
        <w:r w:rsidR="005A5880" w:rsidRPr="004A6106">
          <w:rPr>
            <w:rStyle w:val="Hyperlink"/>
            <w:vertAlign w:val="superscript"/>
            <w:lang w:val="fr-CA"/>
          </w:rPr>
          <w:t>o</w:t>
        </w:r>
        <w:r w:rsidR="005A5880" w:rsidRPr="004A6106">
          <w:rPr>
            <w:rStyle w:val="Hyperlink"/>
            <w:lang w:val="fr-CA"/>
          </w:rPr>
          <w:t> 13 de l</w:t>
        </w:r>
        <w:r w:rsidR="00EC293B">
          <w:rPr>
            <w:rStyle w:val="Hyperlink"/>
            <w:lang w:val="fr-CA"/>
          </w:rPr>
          <w:t>’AIEA</w:t>
        </w:r>
        <w:r w:rsidR="005A5880" w:rsidRPr="004A6106">
          <w:rPr>
            <w:rStyle w:val="Hyperlink"/>
            <w:lang w:val="fr-CA"/>
          </w:rPr>
          <w:t xml:space="preserve">, </w:t>
        </w:r>
        <w:r w:rsidR="005A5880" w:rsidRPr="004A6106">
          <w:rPr>
            <w:rStyle w:val="Hyperlink"/>
            <w:i/>
            <w:iCs/>
            <w:lang w:val="fr-CA"/>
          </w:rPr>
          <w:t>Recommandations de sécurité nucléaire sur la protection physique des matières nucléaires et des installations nucléaires</w:t>
        </w:r>
      </w:hyperlink>
      <w:r w:rsidR="005A5880" w:rsidRPr="004A6106">
        <w:rPr>
          <w:lang w:val="fr-CA"/>
        </w:rPr>
        <w:t xml:space="preserve"> concernant les escortes dans les zones intérieures pour assurer la protection contre les menaces internes en cas d’urgence médicale.</w:t>
      </w:r>
      <w:r w:rsidRPr="004A6106">
        <w:rPr>
          <w:lang w:val="fr-CA"/>
        </w:rPr>
        <w:t xml:space="preserve"> </w:t>
      </w:r>
      <w:r w:rsidR="009709BB" w:rsidRPr="004A6106">
        <w:rPr>
          <w:lang w:val="fr-CA"/>
        </w:rPr>
        <w:t>Des participants ont proposé une modification afin de s’assurer qu’une des deux escortes soit toujours équipée d’un dispositif de communication au cas où de tels événements surviendraient.</w:t>
      </w:r>
      <w:r w:rsidRPr="004A6106">
        <w:rPr>
          <w:lang w:val="fr-CA"/>
        </w:rPr>
        <w:t xml:space="preserve"> </w:t>
      </w:r>
      <w:r w:rsidR="00064ED2" w:rsidRPr="004A6106">
        <w:rPr>
          <w:lang w:val="fr-CA"/>
        </w:rPr>
        <w:t>D’autre</w:t>
      </w:r>
      <w:r w:rsidR="004610F9" w:rsidRPr="004A6106">
        <w:rPr>
          <w:lang w:val="fr-CA"/>
        </w:rPr>
        <w:t>s</w:t>
      </w:r>
      <w:r w:rsidR="00064ED2" w:rsidRPr="004A6106">
        <w:rPr>
          <w:lang w:val="fr-CA"/>
        </w:rPr>
        <w:t xml:space="preserve"> ont aussi suggéré de remplacer </w:t>
      </w:r>
      <w:r w:rsidR="00064ED2" w:rsidRPr="004A6106">
        <w:rPr>
          <w:lang w:val="fr-CA"/>
        </w:rPr>
        <w:lastRenderedPageBreak/>
        <w:t xml:space="preserve">l’exigence concernant le « système de contrôle de l’accès » par un « processus de contrôle de l’accès » afin de permettre la mise en </w:t>
      </w:r>
      <w:r w:rsidR="004610F9" w:rsidRPr="004A6106">
        <w:rPr>
          <w:lang w:val="fr-CA"/>
        </w:rPr>
        <w:t>œ</w:t>
      </w:r>
      <w:r w:rsidR="00064ED2" w:rsidRPr="004A6106">
        <w:rPr>
          <w:lang w:val="fr-CA"/>
        </w:rPr>
        <w:t>uvre d’autres processus pour contrôler l’accès.</w:t>
      </w:r>
    </w:p>
    <w:p w14:paraId="441FA22E" w14:textId="23B56763" w:rsidR="006D6CC6" w:rsidRPr="004A6106" w:rsidRDefault="0062430D" w:rsidP="00BD10E9">
      <w:pPr>
        <w:pStyle w:val="BodyText"/>
        <w:ind w:left="0"/>
        <w:rPr>
          <w:lang w:val="fr-CA"/>
        </w:rPr>
      </w:pPr>
      <w:r w:rsidRPr="004A6106">
        <w:rPr>
          <w:lang w:val="fr-CA"/>
        </w:rPr>
        <w:t>Les commentaires et les suggestions des participants seront examinés pour déterminer s’il faut apporter d’autres modification</w:t>
      </w:r>
      <w:r w:rsidR="004610F9" w:rsidRPr="004A6106">
        <w:rPr>
          <w:lang w:val="fr-CA"/>
        </w:rPr>
        <w:t>s</w:t>
      </w:r>
      <w:r w:rsidRPr="004A6106">
        <w:rPr>
          <w:lang w:val="fr-CA"/>
        </w:rPr>
        <w:t xml:space="preserve"> à ces exigences.  </w:t>
      </w:r>
    </w:p>
    <w:p w14:paraId="0C9DA3A5" w14:textId="265057A5" w:rsidR="006D6CC6" w:rsidRPr="004A6106" w:rsidRDefault="005414B9" w:rsidP="00BD10E9">
      <w:pPr>
        <w:pStyle w:val="Heading3"/>
        <w:rPr>
          <w:lang w:val="fr-CA"/>
        </w:rPr>
      </w:pPr>
      <w:r w:rsidRPr="004A6106">
        <w:rPr>
          <w:lang w:val="fr-CA"/>
        </w:rPr>
        <w:t xml:space="preserve">Poste central d’alarme et poste d’alarme secondaire (articles 50 et 51) </w:t>
      </w:r>
    </w:p>
    <w:p w14:paraId="169B97C2" w14:textId="75215A4F" w:rsidR="006D6CC6" w:rsidRPr="004A6106" w:rsidRDefault="00927974" w:rsidP="00BD10E9">
      <w:pPr>
        <w:pStyle w:val="BodyText"/>
        <w:ind w:left="0"/>
        <w:rPr>
          <w:lang w:val="fr-CA"/>
        </w:rPr>
      </w:pPr>
      <w:r w:rsidRPr="004A6106">
        <w:rPr>
          <w:lang w:val="fr-CA"/>
        </w:rPr>
        <w:t xml:space="preserve">Deux sujets de préoccupation importants ont été soulevés concernant ce thème; l’application de la règle des </w:t>
      </w:r>
      <w:proofErr w:type="gramStart"/>
      <w:r w:rsidRPr="004A6106">
        <w:rPr>
          <w:lang w:val="fr-CA"/>
        </w:rPr>
        <w:t>deux personnes exigée</w:t>
      </w:r>
      <w:proofErr w:type="gramEnd"/>
      <w:r w:rsidRPr="004A6106">
        <w:rPr>
          <w:lang w:val="fr-CA"/>
        </w:rPr>
        <w:t xml:space="preserve"> dans le poste central d’alarme (PCA) et la mise en place d’un poste d’alarme secondaire (PAS) dans un endroit séparé du PCA. </w:t>
      </w:r>
    </w:p>
    <w:p w14:paraId="6A19A466" w14:textId="4CDDDC5D" w:rsidR="006D6CC6" w:rsidRPr="004A6106" w:rsidRDefault="001F6009" w:rsidP="00BD10E9">
      <w:pPr>
        <w:pStyle w:val="BodyText"/>
        <w:ind w:left="0"/>
        <w:rPr>
          <w:u w:val="single"/>
          <w:lang w:val="fr-CA"/>
        </w:rPr>
      </w:pPr>
      <w:r w:rsidRPr="004A6106">
        <w:rPr>
          <w:u w:val="single"/>
          <w:lang w:val="fr-CA"/>
        </w:rPr>
        <w:t>Règle des deux personnes :</w:t>
      </w:r>
    </w:p>
    <w:p w14:paraId="74C4BC5C" w14:textId="0C52203B" w:rsidR="006D6CC6" w:rsidRPr="004A6106" w:rsidRDefault="00E37C74" w:rsidP="00BD10E9">
      <w:pPr>
        <w:pStyle w:val="BodyText"/>
        <w:ind w:left="0"/>
        <w:rPr>
          <w:lang w:val="fr-CA"/>
        </w:rPr>
      </w:pPr>
      <w:r w:rsidRPr="004A6106">
        <w:rPr>
          <w:lang w:val="fr-CA"/>
        </w:rPr>
        <w:t>Des participants ont fait part de leur inquiétude quan</w:t>
      </w:r>
      <w:r w:rsidR="00F7140C" w:rsidRPr="004A6106">
        <w:rPr>
          <w:lang w:val="fr-CA"/>
        </w:rPr>
        <w:t>t</w:t>
      </w:r>
      <w:r w:rsidRPr="004A6106">
        <w:rPr>
          <w:lang w:val="fr-CA"/>
        </w:rPr>
        <w:t xml:space="preserve"> à l’application proposée de la règle des deux personnes dans le PCA en raison de l’augmentation des besoins en personnel qui en découlerait et parce qu’ils ne voyaient pas l’avantage pour la sécurité de cette nouvelle exigence. </w:t>
      </w:r>
      <w:r w:rsidR="00F530C9" w:rsidRPr="004A6106">
        <w:rPr>
          <w:lang w:val="fr-CA"/>
        </w:rPr>
        <w:t xml:space="preserve">On a informé les participants que l’exigence vise </w:t>
      </w:r>
      <w:r w:rsidR="0048679F" w:rsidRPr="004A6106">
        <w:rPr>
          <w:lang w:val="fr-CA"/>
        </w:rPr>
        <w:t>à</w:t>
      </w:r>
      <w:r w:rsidR="00F530C9" w:rsidRPr="004A6106">
        <w:rPr>
          <w:lang w:val="fr-CA"/>
        </w:rPr>
        <w:t xml:space="preserve"> prévenir ou </w:t>
      </w:r>
      <w:r w:rsidR="0048679F" w:rsidRPr="004A6106">
        <w:rPr>
          <w:lang w:val="fr-CA"/>
        </w:rPr>
        <w:t>à</w:t>
      </w:r>
      <w:r w:rsidR="00F530C9" w:rsidRPr="004A6106">
        <w:rPr>
          <w:lang w:val="fr-CA"/>
        </w:rPr>
        <w:t xml:space="preserve"> atténuer les altérations à l’intérieur du PCA et à réduire l’ensemble des menaces à l’intérieur des installations nucléaires.</w:t>
      </w:r>
      <w:r w:rsidRPr="004A6106">
        <w:rPr>
          <w:lang w:val="fr-CA"/>
        </w:rPr>
        <w:t xml:space="preserve"> </w:t>
      </w:r>
      <w:r w:rsidR="006254AF" w:rsidRPr="004A6106">
        <w:rPr>
          <w:lang w:val="fr-CA"/>
        </w:rPr>
        <w:t>Ils ont aussi été avisés que cette exigence était une suggestion découlant de la mission du Service consultatif international sur la protection physique (SCIPP)</w:t>
      </w:r>
      <w:r w:rsidRPr="004A6106">
        <w:rPr>
          <w:rStyle w:val="FootnoteReference"/>
          <w:lang w:val="fr-CA"/>
        </w:rPr>
        <w:footnoteReference w:id="18"/>
      </w:r>
      <w:r w:rsidR="006254AF" w:rsidRPr="004A6106">
        <w:rPr>
          <w:lang w:val="fr-CA"/>
        </w:rPr>
        <w:t xml:space="preserve">, comme indiqué dans le </w:t>
      </w:r>
      <w:hyperlink r:id="rId26" w:history="1">
        <w:r w:rsidR="006254AF" w:rsidRPr="004A6106">
          <w:rPr>
            <w:rStyle w:val="Hyperlink"/>
            <w:lang w:val="fr-CA"/>
          </w:rPr>
          <w:t>rapport de mission</w:t>
        </w:r>
      </w:hyperlink>
      <w:r w:rsidR="006254AF" w:rsidRPr="004A6106">
        <w:rPr>
          <w:lang w:val="fr-CA"/>
        </w:rPr>
        <w:t xml:space="preserve"> </w:t>
      </w:r>
      <w:r w:rsidR="0048679F" w:rsidRPr="004A6106">
        <w:rPr>
          <w:lang w:val="fr-CA"/>
        </w:rPr>
        <w:t>(en anglais seulement).</w:t>
      </w:r>
      <w:r w:rsidRPr="004A6106">
        <w:rPr>
          <w:lang w:val="fr-CA"/>
        </w:rPr>
        <w:t xml:space="preserve"> </w:t>
      </w:r>
      <w:r w:rsidR="0048679F" w:rsidRPr="004A6106">
        <w:rPr>
          <w:lang w:val="fr-CA"/>
        </w:rPr>
        <w:t>En général, les participants comprenaient la nécessité d’atténuer les menaces internes dans les installations nucléaires et ils ont affirmé que des processus sont déjà en place pour prévenir les altérations à l’intérieur du PCA et atténuer les effets des menaces et des événements internes.</w:t>
      </w:r>
      <w:r w:rsidRPr="004A6106">
        <w:rPr>
          <w:lang w:val="fr-CA"/>
        </w:rPr>
        <w:t xml:space="preserve"> </w:t>
      </w:r>
      <w:r w:rsidR="006C50FE" w:rsidRPr="004A6106">
        <w:rPr>
          <w:lang w:val="fr-CA"/>
        </w:rPr>
        <w:t>Les exigences proposées seront revues pour accorder plus de souplesse quant aux procédures utilisées pour atténuer les menaces internes.</w:t>
      </w:r>
      <w:r w:rsidRPr="004A6106">
        <w:rPr>
          <w:lang w:val="fr-CA"/>
        </w:rPr>
        <w:t xml:space="preserve"> </w:t>
      </w:r>
    </w:p>
    <w:p w14:paraId="3A7B176C" w14:textId="77777777" w:rsidR="006D6CC6" w:rsidRPr="004A6106" w:rsidRDefault="006D6CC6" w:rsidP="00BD10E9">
      <w:pPr>
        <w:pStyle w:val="BodyText"/>
        <w:ind w:left="0"/>
        <w:rPr>
          <w:lang w:val="fr-CA"/>
        </w:rPr>
      </w:pPr>
    </w:p>
    <w:p w14:paraId="1F3E69C5" w14:textId="7B2FCEFF" w:rsidR="006D6CC6" w:rsidRPr="004A6106" w:rsidRDefault="003F48C8" w:rsidP="00BD10E9">
      <w:pPr>
        <w:pStyle w:val="BodyText"/>
        <w:ind w:left="0"/>
        <w:rPr>
          <w:u w:val="single"/>
          <w:lang w:val="fr-CA"/>
        </w:rPr>
      </w:pPr>
      <w:r w:rsidRPr="004A6106">
        <w:rPr>
          <w:u w:val="single"/>
          <w:lang w:val="fr-CA"/>
        </w:rPr>
        <w:t>Poste d’alarme secondaire :</w:t>
      </w:r>
    </w:p>
    <w:p w14:paraId="386C74BF" w14:textId="5C4DE60F" w:rsidR="006D6CC6" w:rsidRPr="004A6106" w:rsidRDefault="00590125" w:rsidP="00BD10E9">
      <w:pPr>
        <w:pStyle w:val="BodyText"/>
        <w:ind w:left="0"/>
        <w:rPr>
          <w:lang w:val="fr-CA"/>
        </w:rPr>
      </w:pPr>
      <w:r w:rsidRPr="004A6106">
        <w:rPr>
          <w:lang w:val="fr-CA"/>
        </w:rPr>
        <w:t xml:space="preserve">Des participants ont indiqué que la construction d’un poste d’alarme secondaire distinct ne serait pas possible dans certaines installations en raison du manque d’espace ou de plans de déclassement. </w:t>
      </w:r>
      <w:r w:rsidR="0082468F" w:rsidRPr="004A6106">
        <w:rPr>
          <w:lang w:val="fr-CA"/>
        </w:rPr>
        <w:t xml:space="preserve">Les participants se sont aussi </w:t>
      </w:r>
      <w:proofErr w:type="gramStart"/>
      <w:r w:rsidR="0082468F" w:rsidRPr="004A6106">
        <w:rPr>
          <w:lang w:val="fr-CA"/>
        </w:rPr>
        <w:t>dits</w:t>
      </w:r>
      <w:proofErr w:type="gramEnd"/>
      <w:r w:rsidR="0082468F" w:rsidRPr="004A6106">
        <w:rPr>
          <w:lang w:val="fr-CA"/>
        </w:rPr>
        <w:t xml:space="preserve"> particulièrement préoccupés par les conséquences et le fardeau imposés aux nouvelles installations potentielles dotées de PRM, puisque l’exigence proposée ne constituerait pas une approche tenant compte du risque.</w:t>
      </w:r>
      <w:r w:rsidRPr="004A6106">
        <w:rPr>
          <w:lang w:val="fr-CA"/>
        </w:rPr>
        <w:t xml:space="preserve"> </w:t>
      </w:r>
    </w:p>
    <w:p w14:paraId="33C7967C" w14:textId="2DE839FB" w:rsidR="006D6CC6" w:rsidRPr="004A6106" w:rsidRDefault="00BB18AE" w:rsidP="00BD10E9">
      <w:pPr>
        <w:pStyle w:val="BodyText"/>
        <w:ind w:left="0"/>
        <w:rPr>
          <w:lang w:val="fr-CA"/>
        </w:rPr>
      </w:pPr>
      <w:r w:rsidRPr="004A6106">
        <w:rPr>
          <w:lang w:val="fr-CA"/>
        </w:rPr>
        <w:t xml:space="preserve">On a informé les participants que l’exigence proposée vise à assurer la redondance des postes d’alarme ainsi qu’à améliorer la continuité des </w:t>
      </w:r>
      <w:r w:rsidR="003C01AA">
        <w:rPr>
          <w:lang w:val="fr-CA"/>
        </w:rPr>
        <w:t>activités</w:t>
      </w:r>
      <w:r w:rsidRPr="004A6106">
        <w:rPr>
          <w:lang w:val="fr-CA"/>
        </w:rPr>
        <w:t xml:space="preserve"> et à éviter un point de défaillance unique (pour une vulnérabilité réduite) en cas d’urgence ou d’incident lié à la sécurité. </w:t>
      </w:r>
      <w:r w:rsidR="000C0E14" w:rsidRPr="004A6106">
        <w:rPr>
          <w:lang w:val="fr-CA"/>
        </w:rPr>
        <w:t>Des participants ont souligné que le paragraphe 15(3)</w:t>
      </w:r>
      <w:r w:rsidRPr="004A6106">
        <w:rPr>
          <w:rStyle w:val="FootnoteReference"/>
          <w:lang w:val="fr-CA"/>
        </w:rPr>
        <w:footnoteReference w:id="19"/>
      </w:r>
      <w:r w:rsidR="000C0E14" w:rsidRPr="004A6106">
        <w:rPr>
          <w:lang w:val="fr-CA"/>
        </w:rPr>
        <w:t xml:space="preserve"> du RSN actuel exige déjà une solution de rechange aux fonctions du PCA.</w:t>
      </w:r>
      <w:r w:rsidRPr="004A6106">
        <w:rPr>
          <w:lang w:val="fr-CA"/>
        </w:rPr>
        <w:t xml:space="preserve"> </w:t>
      </w:r>
    </w:p>
    <w:p w14:paraId="0AE4D763" w14:textId="4DA47B53" w:rsidR="006D6CC6" w:rsidRPr="004A6106" w:rsidRDefault="00A32C18" w:rsidP="00BD10E9">
      <w:pPr>
        <w:pStyle w:val="BodyText"/>
        <w:ind w:left="0"/>
        <w:rPr>
          <w:lang w:val="fr-CA"/>
        </w:rPr>
      </w:pPr>
      <w:r w:rsidRPr="004A6106">
        <w:rPr>
          <w:lang w:val="fr-CA"/>
        </w:rPr>
        <w:t xml:space="preserve">Des participants ont suggéré d’autoriser d’autres procédures de sécurité ou d’urgence pouvant assurer une intervention efficace en cas de perte du PCA. </w:t>
      </w:r>
      <w:r w:rsidR="00DA0ABE" w:rsidRPr="004A6106">
        <w:rPr>
          <w:lang w:val="fr-CA"/>
        </w:rPr>
        <w:t>L’exigence proposée sera examinée pour s’assurer qu’elle offre une certaine souplesse quant aux moyens d’atteindre l’objectif de sécurité.</w:t>
      </w:r>
      <w:r w:rsidRPr="004A6106">
        <w:rPr>
          <w:lang w:val="fr-CA"/>
        </w:rPr>
        <w:t xml:space="preserve"> </w:t>
      </w:r>
    </w:p>
    <w:p w14:paraId="08279742" w14:textId="77777777" w:rsidR="006D6CC6" w:rsidRPr="004A6106" w:rsidRDefault="00CC46AF" w:rsidP="00BD10E9">
      <w:pPr>
        <w:pStyle w:val="BodyText"/>
        <w:ind w:left="0"/>
        <w:rPr>
          <w:lang w:val="fr-CA"/>
        </w:rPr>
      </w:pPr>
      <w:r w:rsidRPr="004A6106">
        <w:rPr>
          <w:lang w:val="fr-CA"/>
        </w:rPr>
        <w:t xml:space="preserve"> </w:t>
      </w:r>
    </w:p>
    <w:p w14:paraId="71E26B7B" w14:textId="5FE9FECB" w:rsidR="006D6CC6" w:rsidRPr="004A6106" w:rsidRDefault="00515874" w:rsidP="003C01AA">
      <w:pPr>
        <w:pStyle w:val="Heading2"/>
        <w:ind w:left="0" w:firstLine="0"/>
        <w:rPr>
          <w:lang w:val="fr-CA"/>
        </w:rPr>
      </w:pPr>
      <w:r w:rsidRPr="004A6106">
        <w:rPr>
          <w:lang w:val="fr-CA"/>
        </w:rPr>
        <w:lastRenderedPageBreak/>
        <w:t>Discussions additionnelles</w:t>
      </w:r>
    </w:p>
    <w:p w14:paraId="164249D8" w14:textId="2512D533" w:rsidR="006D6CC6" w:rsidRPr="004A6106" w:rsidRDefault="00F53C71" w:rsidP="00BD10E9">
      <w:pPr>
        <w:pStyle w:val="BodyText"/>
        <w:ind w:left="0"/>
        <w:rPr>
          <w:lang w:val="fr-CA"/>
        </w:rPr>
      </w:pPr>
      <w:r w:rsidRPr="004A6106">
        <w:rPr>
          <w:lang w:val="fr-CA"/>
        </w:rPr>
        <w:t>Il y a eu d’autres discussions portant sur des sujets comme les examens et les mises à jour des EMR, le</w:t>
      </w:r>
      <w:r w:rsidR="003C01AA">
        <w:rPr>
          <w:lang w:val="fr-CA"/>
        </w:rPr>
        <w:t xml:space="preserve"> contrôle des aptitudes</w:t>
      </w:r>
      <w:r w:rsidRPr="004A6106">
        <w:rPr>
          <w:lang w:val="fr-CA"/>
        </w:rPr>
        <w:t xml:space="preserve">, les zones à accès limité, les zones libres, etc. </w:t>
      </w:r>
      <w:r w:rsidR="00C40F7B" w:rsidRPr="004A6106">
        <w:rPr>
          <w:lang w:val="fr-CA"/>
        </w:rPr>
        <w:t>Toutes les discussions seront prises en compte lors de l’examen du r</w:t>
      </w:r>
      <w:r w:rsidR="009E1E58" w:rsidRPr="004A6106">
        <w:rPr>
          <w:lang w:val="fr-CA"/>
        </w:rPr>
        <w:t>è</w:t>
      </w:r>
      <w:r w:rsidR="00C40F7B" w:rsidRPr="004A6106">
        <w:rPr>
          <w:lang w:val="fr-CA"/>
        </w:rPr>
        <w:t>glement proposé et des REGDOC.</w:t>
      </w:r>
      <w:r w:rsidRPr="004A6106">
        <w:rPr>
          <w:lang w:val="fr-CA"/>
        </w:rPr>
        <w:t xml:space="preserve">  </w:t>
      </w:r>
    </w:p>
    <w:p w14:paraId="0BE9D4E2" w14:textId="32D716F1" w:rsidR="006D6CC6" w:rsidRPr="004A6106" w:rsidRDefault="004A5FD0" w:rsidP="00BD10E9">
      <w:pPr>
        <w:pStyle w:val="Heading2"/>
        <w:rPr>
          <w:lang w:val="fr-CA"/>
        </w:rPr>
      </w:pPr>
      <w:r w:rsidRPr="004A6106">
        <w:rPr>
          <w:lang w:val="fr-CA"/>
        </w:rPr>
        <w:t>Principaux sujets de préoccupation</w:t>
      </w:r>
    </w:p>
    <w:p w14:paraId="249897FA" w14:textId="1B4B007D" w:rsidR="006D6CC6" w:rsidRPr="004A6106" w:rsidRDefault="00F0285D" w:rsidP="00BD10E9">
      <w:pPr>
        <w:rPr>
          <w:rFonts w:ascii="Times New Roman" w:hAnsi="Times New Roman" w:cs="Times New Roman"/>
          <w:lang w:val="fr-CA"/>
        </w:rPr>
      </w:pPr>
      <w:r w:rsidRPr="004A6106">
        <w:rPr>
          <w:rFonts w:ascii="Times New Roman" w:hAnsi="Times New Roman" w:cs="Times New Roman"/>
          <w:lang w:val="fr-CA"/>
        </w:rPr>
        <w:t>Dans l’ensemble, les principaux points d’intérêt et de préoccupation du règlement proposé étaient les suivants :</w:t>
      </w:r>
    </w:p>
    <w:p w14:paraId="0D0B1C4D" w14:textId="6C6950CA" w:rsidR="006D6CC6" w:rsidRPr="004A6106" w:rsidRDefault="009E1E58" w:rsidP="00BD10E9">
      <w:pPr>
        <w:pStyle w:val="ListParagraph"/>
        <w:numPr>
          <w:ilvl w:val="0"/>
          <w:numId w:val="19"/>
        </w:numPr>
        <w:rPr>
          <w:rFonts w:cs="Times New Roman"/>
          <w:lang w:val="fr-CA"/>
        </w:rPr>
      </w:pPr>
      <w:proofErr w:type="gramStart"/>
      <w:r w:rsidRPr="004A6106">
        <w:rPr>
          <w:rFonts w:cs="Times New Roman"/>
          <w:lang w:val="fr-CA"/>
        </w:rPr>
        <w:t>plusieurs</w:t>
      </w:r>
      <w:proofErr w:type="gramEnd"/>
      <w:r w:rsidRPr="004A6106">
        <w:rPr>
          <w:rFonts w:cs="Times New Roman"/>
          <w:lang w:val="fr-CA"/>
        </w:rPr>
        <w:t xml:space="preserve"> exigences proposées étaient trop normatives</w:t>
      </w:r>
    </w:p>
    <w:p w14:paraId="281A7C71" w14:textId="62412080" w:rsidR="006D6CC6" w:rsidRPr="004A6106" w:rsidRDefault="00737DD2" w:rsidP="005B2AE3">
      <w:pPr>
        <w:pStyle w:val="ListParagraph"/>
        <w:numPr>
          <w:ilvl w:val="0"/>
          <w:numId w:val="19"/>
        </w:numPr>
        <w:rPr>
          <w:rFonts w:asciiTheme="minorHAnsi" w:hAnsiTheme="minorHAnsi" w:cstheme="minorHAnsi"/>
          <w:lang w:val="fr-CA"/>
        </w:rPr>
      </w:pPr>
      <w:proofErr w:type="gramStart"/>
      <w:r w:rsidRPr="004A6106">
        <w:rPr>
          <w:rFonts w:cs="Times New Roman"/>
          <w:lang w:val="fr-CA"/>
        </w:rPr>
        <w:t>l’établissement</w:t>
      </w:r>
      <w:proofErr w:type="gramEnd"/>
      <w:r w:rsidRPr="004A6106">
        <w:rPr>
          <w:rFonts w:cs="Times New Roman"/>
          <w:lang w:val="fr-CA"/>
        </w:rPr>
        <w:t xml:space="preserve"> d’un seuil pour les conséquences radiologiques inacceptables comme fondement des exigences axées sur le rendement</w:t>
      </w:r>
    </w:p>
    <w:p w14:paraId="7E497E93" w14:textId="3800748D" w:rsidR="006D6CC6" w:rsidRPr="004A6106" w:rsidRDefault="004C2049" w:rsidP="00BD10E9">
      <w:pPr>
        <w:pStyle w:val="ListParagraph"/>
        <w:numPr>
          <w:ilvl w:val="0"/>
          <w:numId w:val="19"/>
        </w:numPr>
        <w:rPr>
          <w:rFonts w:cs="Times New Roman"/>
          <w:lang w:val="fr-CA"/>
        </w:rPr>
      </w:pPr>
      <w:proofErr w:type="gramStart"/>
      <w:r w:rsidRPr="004A6106">
        <w:rPr>
          <w:rFonts w:cs="Times New Roman"/>
          <w:lang w:val="fr-CA"/>
        </w:rPr>
        <w:t>l’application</w:t>
      </w:r>
      <w:proofErr w:type="gramEnd"/>
      <w:r w:rsidRPr="004A6106">
        <w:rPr>
          <w:rFonts w:cs="Times New Roman"/>
          <w:lang w:val="fr-CA"/>
        </w:rPr>
        <w:t xml:space="preserve"> du règlement proposé et du cadre de réglementation pour la sécurité nucléaire de la CCSN aux PRM en utilisant une approche axée sur le rendement et tenant compte du risque</w:t>
      </w:r>
    </w:p>
    <w:p w14:paraId="6489CDFA" w14:textId="014C0228" w:rsidR="006D6CC6" w:rsidRPr="004A6106" w:rsidRDefault="00DC7769" w:rsidP="00BD10E9">
      <w:pPr>
        <w:pStyle w:val="ListParagraph"/>
        <w:numPr>
          <w:ilvl w:val="0"/>
          <w:numId w:val="19"/>
        </w:numPr>
        <w:rPr>
          <w:rFonts w:cs="Times New Roman"/>
          <w:lang w:val="fr-CA"/>
        </w:rPr>
      </w:pPr>
      <w:proofErr w:type="gramStart"/>
      <w:r w:rsidRPr="004A6106">
        <w:rPr>
          <w:rFonts w:cs="Times New Roman"/>
          <w:lang w:val="fr-CA"/>
        </w:rPr>
        <w:t>les</w:t>
      </w:r>
      <w:proofErr w:type="gramEnd"/>
      <w:r w:rsidRPr="004A6106">
        <w:rPr>
          <w:rFonts w:cs="Times New Roman"/>
          <w:lang w:val="fr-CA"/>
        </w:rPr>
        <w:t xml:space="preserve"> exigences proposées relativement à la sécurité des substances nucléaires, aux barrières pour les zones protégées, aux mesure</w:t>
      </w:r>
      <w:r w:rsidR="004610F9" w:rsidRPr="004A6106">
        <w:rPr>
          <w:rFonts w:cs="Times New Roman"/>
          <w:lang w:val="fr-CA"/>
        </w:rPr>
        <w:t>s</w:t>
      </w:r>
      <w:r w:rsidRPr="004A6106">
        <w:rPr>
          <w:rFonts w:cs="Times New Roman"/>
          <w:lang w:val="fr-CA"/>
        </w:rPr>
        <w:t xml:space="preserve"> de sécurité dans les zones vitales et aux postes d’alarme secondaires étaient jugées très contraignantes</w:t>
      </w:r>
    </w:p>
    <w:p w14:paraId="15AFE456" w14:textId="7BEC921F" w:rsidR="006D6CC6" w:rsidRPr="004A6106" w:rsidRDefault="00A35FFC" w:rsidP="00BD10E9">
      <w:pPr>
        <w:pStyle w:val="ListParagraph"/>
        <w:numPr>
          <w:ilvl w:val="0"/>
          <w:numId w:val="19"/>
        </w:numPr>
        <w:rPr>
          <w:rFonts w:cs="Times New Roman"/>
          <w:lang w:val="fr-CA"/>
        </w:rPr>
      </w:pPr>
      <w:proofErr w:type="gramStart"/>
      <w:r w:rsidRPr="004A6106">
        <w:rPr>
          <w:rFonts w:cs="Times New Roman"/>
          <w:lang w:val="fr-CA"/>
        </w:rPr>
        <w:t>une</w:t>
      </w:r>
      <w:proofErr w:type="gramEnd"/>
      <w:r w:rsidRPr="004A6106">
        <w:rPr>
          <w:rFonts w:cs="Times New Roman"/>
          <w:lang w:val="fr-CA"/>
        </w:rPr>
        <w:t xml:space="preserve"> orientation concernant le règlement proposé doit être ajoutée dans les REGDOC sur la sécurité nucléaire révisés</w:t>
      </w:r>
    </w:p>
    <w:p w14:paraId="17D77C07" w14:textId="59F40CD3" w:rsidR="006D6CC6" w:rsidRPr="004A6106" w:rsidRDefault="00E8462D" w:rsidP="00BD10E9">
      <w:pPr>
        <w:rPr>
          <w:rFonts w:ascii="Times New Roman" w:hAnsi="Times New Roman" w:cs="Times New Roman"/>
          <w:lang w:val="fr-CA"/>
        </w:rPr>
      </w:pPr>
      <w:r w:rsidRPr="004A6106">
        <w:rPr>
          <w:rFonts w:ascii="Times New Roman" w:hAnsi="Times New Roman" w:cs="Times New Roman"/>
          <w:lang w:val="fr-CA"/>
        </w:rPr>
        <w:t xml:space="preserve">Les points susmentionnés seront examinés en regard des engagements de la CCSN indiqués dans la </w:t>
      </w:r>
      <w:hyperlink r:id="rId27" w:history="1">
        <w:r w:rsidRPr="004A6106">
          <w:rPr>
            <w:rStyle w:val="Hyperlink"/>
            <w:rFonts w:cs="Times New Roman"/>
            <w:i/>
            <w:iCs/>
            <w:lang w:val="fr-CA"/>
          </w:rPr>
          <w:t>Feuille de route des PRM</w:t>
        </w:r>
      </w:hyperlink>
      <w:r w:rsidRPr="004A6106">
        <w:rPr>
          <w:rFonts w:ascii="Times New Roman" w:hAnsi="Times New Roman" w:cs="Times New Roman"/>
          <w:iCs/>
          <w:lang w:val="fr-CA"/>
        </w:rPr>
        <w:t xml:space="preserve"> et le </w:t>
      </w:r>
      <w:hyperlink r:id="rId28" w:history="1">
        <w:r w:rsidRPr="004A6106">
          <w:rPr>
            <w:rStyle w:val="Hyperlink"/>
            <w:rFonts w:cs="Times New Roman"/>
            <w:i/>
            <w:iCs/>
            <w:lang w:val="fr-CA"/>
          </w:rPr>
          <w:t>Plan d’action des PRM</w:t>
        </w:r>
      </w:hyperlink>
      <w:r w:rsidRPr="004A6106">
        <w:rPr>
          <w:rFonts w:ascii="Times New Roman" w:hAnsi="Times New Roman" w:cs="Times New Roman"/>
          <w:lang w:val="fr-CA"/>
        </w:rPr>
        <w:t xml:space="preserve"> pendant l’examen des améliorations des politiques qui pourraient être apportées au règlement proposé pour s’assurer qu’il est efficace, réalisable et adapté pour toutes les installations nucléaires visées par le règlement. </w:t>
      </w:r>
    </w:p>
    <w:p w14:paraId="40BDE8A4" w14:textId="77777777" w:rsidR="006D6CC6" w:rsidRPr="004A6106" w:rsidRDefault="006D6CC6" w:rsidP="00BD10E9">
      <w:pPr>
        <w:rPr>
          <w:rFonts w:ascii="Times New Roman" w:hAnsi="Times New Roman" w:cs="Times New Roman"/>
          <w:lang w:val="fr-CA"/>
        </w:rPr>
      </w:pPr>
    </w:p>
    <w:p w14:paraId="5092BC16" w14:textId="0004B550" w:rsidR="006D6CC6" w:rsidRPr="004A6106" w:rsidRDefault="003A3007" w:rsidP="00BD10E9">
      <w:pPr>
        <w:pStyle w:val="Heading2"/>
        <w:rPr>
          <w:lang w:val="fr-CA"/>
        </w:rPr>
      </w:pPr>
      <w:bookmarkStart w:id="30" w:name="_Toc80103355"/>
      <w:r w:rsidRPr="004A6106">
        <w:rPr>
          <w:lang w:val="fr-CA"/>
        </w:rPr>
        <w:t>Conclusion et prochaines étapes</w:t>
      </w:r>
    </w:p>
    <w:p w14:paraId="28467009" w14:textId="5451AA60" w:rsidR="006D6CC6" w:rsidRPr="004A6106" w:rsidRDefault="00F52DAE" w:rsidP="005B2AE3">
      <w:pPr>
        <w:rPr>
          <w:rFonts w:ascii="Times New Roman" w:hAnsi="Times New Roman" w:cs="Times New Roman"/>
          <w:shd w:val="clear" w:color="auto" w:fill="FFFFFF"/>
          <w:lang w:val="fr-CA"/>
        </w:rPr>
      </w:pPr>
      <w:bookmarkStart w:id="31" w:name="_Hlk90460766"/>
      <w:bookmarkEnd w:id="30"/>
      <w:r w:rsidRPr="004A6106">
        <w:rPr>
          <w:rFonts w:ascii="Times New Roman" w:hAnsi="Times New Roman" w:cs="Times New Roman"/>
          <w:shd w:val="clear" w:color="auto" w:fill="FFFFFF"/>
          <w:lang w:val="fr-CA"/>
        </w:rPr>
        <w:t>La CCSN examinera tous les commentaires, les discussions et les points à préciser découlant des ateliers et déterminera si des modifications doivent être apportées à la politique d</w:t>
      </w:r>
      <w:r w:rsidR="004610F9" w:rsidRPr="004A6106">
        <w:rPr>
          <w:rFonts w:ascii="Times New Roman" w:hAnsi="Times New Roman" w:cs="Times New Roman"/>
          <w:shd w:val="clear" w:color="auto" w:fill="FFFFFF"/>
          <w:lang w:val="fr-CA"/>
        </w:rPr>
        <w:t>’</w:t>
      </w:r>
      <w:r w:rsidRPr="004A6106">
        <w:rPr>
          <w:rFonts w:ascii="Times New Roman" w:hAnsi="Times New Roman" w:cs="Times New Roman"/>
          <w:shd w:val="clear" w:color="auto" w:fill="FFFFFF"/>
          <w:lang w:val="fr-CA"/>
        </w:rPr>
        <w:t xml:space="preserve">application de la réglementation ou aux exigences proposées. </w:t>
      </w:r>
      <w:r w:rsidR="00354132" w:rsidRPr="004A6106">
        <w:rPr>
          <w:rFonts w:ascii="Times New Roman" w:hAnsi="Times New Roman" w:cs="Times New Roman"/>
          <w:shd w:val="clear" w:color="auto" w:fill="FFFFFF"/>
          <w:lang w:val="fr-CA"/>
        </w:rPr>
        <w:t xml:space="preserve">En outre, la CCSN s’assurera que les REGDOC sur </w:t>
      </w:r>
      <w:proofErr w:type="gramStart"/>
      <w:r w:rsidR="00354132" w:rsidRPr="004A6106">
        <w:rPr>
          <w:rFonts w:ascii="Times New Roman" w:hAnsi="Times New Roman" w:cs="Times New Roman"/>
          <w:shd w:val="clear" w:color="auto" w:fill="FFFFFF"/>
          <w:lang w:val="fr-CA"/>
        </w:rPr>
        <w:t>la sécurité révisés</w:t>
      </w:r>
      <w:proofErr w:type="gramEnd"/>
      <w:r w:rsidR="00354132" w:rsidRPr="004A6106">
        <w:rPr>
          <w:rFonts w:ascii="Times New Roman" w:hAnsi="Times New Roman" w:cs="Times New Roman"/>
          <w:shd w:val="clear" w:color="auto" w:fill="FFFFFF"/>
          <w:lang w:val="fr-CA"/>
        </w:rPr>
        <w:t xml:space="preserve"> comprendront les précisions et les orientations nécessaires pour soutenir le RSN 2023 proposé.</w:t>
      </w:r>
      <w:r w:rsidRPr="004A6106">
        <w:rPr>
          <w:rFonts w:ascii="Times New Roman" w:hAnsi="Times New Roman" w:cs="Times New Roman"/>
          <w:shd w:val="clear" w:color="auto" w:fill="FFFFFF"/>
          <w:lang w:val="fr-CA"/>
        </w:rPr>
        <w:t xml:space="preserve"> </w:t>
      </w:r>
      <w:r w:rsidR="000431FB" w:rsidRPr="004A6106">
        <w:rPr>
          <w:rFonts w:ascii="Times New Roman" w:hAnsi="Times New Roman" w:cs="Times New Roman"/>
          <w:shd w:val="clear" w:color="auto" w:fill="FFFFFF"/>
          <w:lang w:val="fr-CA"/>
        </w:rPr>
        <w:t>D’autres discussions de suivi sur le règlement proposé seront réalisées ultérieurement, au besoin. Une fois terminé</w:t>
      </w:r>
      <w:r w:rsidR="004610F9" w:rsidRPr="004A6106">
        <w:rPr>
          <w:rFonts w:ascii="Times New Roman" w:hAnsi="Times New Roman" w:cs="Times New Roman"/>
          <w:shd w:val="clear" w:color="auto" w:fill="FFFFFF"/>
          <w:lang w:val="fr-CA"/>
        </w:rPr>
        <w:t>s</w:t>
      </w:r>
      <w:r w:rsidR="000431FB" w:rsidRPr="004A6106">
        <w:rPr>
          <w:rFonts w:ascii="Times New Roman" w:hAnsi="Times New Roman" w:cs="Times New Roman"/>
          <w:shd w:val="clear" w:color="auto" w:fill="FFFFFF"/>
          <w:lang w:val="fr-CA"/>
        </w:rPr>
        <w:t>, les REGDOC provisoir</w:t>
      </w:r>
      <w:r w:rsidR="004610F9" w:rsidRPr="004A6106">
        <w:rPr>
          <w:rFonts w:ascii="Times New Roman" w:hAnsi="Times New Roman" w:cs="Times New Roman"/>
          <w:shd w:val="clear" w:color="auto" w:fill="FFFFFF"/>
          <w:lang w:val="fr-CA"/>
        </w:rPr>
        <w:t>e</w:t>
      </w:r>
      <w:r w:rsidR="000431FB" w:rsidRPr="004A6106">
        <w:rPr>
          <w:rFonts w:ascii="Times New Roman" w:hAnsi="Times New Roman" w:cs="Times New Roman"/>
          <w:shd w:val="clear" w:color="auto" w:fill="FFFFFF"/>
          <w:lang w:val="fr-CA"/>
        </w:rPr>
        <w:t>s seront affichés aux fins de consultation conformément à la procédure habituelle de la CCSN et d’autres ateliers sur les REGDOC seront tenus, si nécessaire.</w:t>
      </w:r>
      <w:r w:rsidRPr="004A6106">
        <w:rPr>
          <w:rFonts w:ascii="Times New Roman" w:hAnsi="Times New Roman" w:cs="Times New Roman"/>
          <w:shd w:val="clear" w:color="auto" w:fill="FFFFFF"/>
          <w:lang w:val="fr-CA"/>
        </w:rPr>
        <w:t xml:space="preserve"> </w:t>
      </w:r>
    </w:p>
    <w:p w14:paraId="3144CD28" w14:textId="77777777" w:rsidR="006D6CC6" w:rsidRPr="004A6106" w:rsidRDefault="006D6CC6" w:rsidP="00BD10E9">
      <w:pPr>
        <w:jc w:val="both"/>
        <w:rPr>
          <w:rFonts w:ascii="Times New Roman" w:hAnsi="Times New Roman" w:cs="Times New Roman"/>
          <w:shd w:val="clear" w:color="auto" w:fill="FFFFFF"/>
          <w:lang w:val="fr-CA"/>
        </w:rPr>
      </w:pPr>
    </w:p>
    <w:p w14:paraId="377F40BD" w14:textId="77777777" w:rsidR="006D6CC6" w:rsidRPr="004A6106" w:rsidRDefault="006D6CC6" w:rsidP="00BD10E9">
      <w:pPr>
        <w:jc w:val="both"/>
        <w:rPr>
          <w:rFonts w:ascii="Times New Roman" w:hAnsi="Times New Roman" w:cs="Times New Roman"/>
          <w:shd w:val="clear" w:color="auto" w:fill="FFFFFF"/>
          <w:lang w:val="fr-CA"/>
        </w:rPr>
      </w:pPr>
    </w:p>
    <w:p w14:paraId="27E357E5" w14:textId="77777777" w:rsidR="006D6CC6" w:rsidRPr="004A6106" w:rsidRDefault="006D6CC6" w:rsidP="00BD10E9">
      <w:pPr>
        <w:jc w:val="both"/>
        <w:rPr>
          <w:rFonts w:ascii="Times New Roman" w:hAnsi="Times New Roman" w:cs="Times New Roman"/>
          <w:shd w:val="clear" w:color="auto" w:fill="FFFFFF"/>
          <w:lang w:val="fr-CA"/>
        </w:rPr>
      </w:pPr>
    </w:p>
    <w:p w14:paraId="57AFBFBC" w14:textId="77777777" w:rsidR="006D6CC6" w:rsidRPr="004A6106" w:rsidRDefault="006D6CC6" w:rsidP="00BD10E9">
      <w:pPr>
        <w:jc w:val="both"/>
        <w:rPr>
          <w:rFonts w:ascii="Times New Roman" w:hAnsi="Times New Roman" w:cs="Times New Roman"/>
          <w:shd w:val="clear" w:color="auto" w:fill="FFFFFF"/>
          <w:lang w:val="fr-CA"/>
        </w:rPr>
      </w:pPr>
    </w:p>
    <w:p w14:paraId="0C5B7D72" w14:textId="77777777" w:rsidR="006D6CC6" w:rsidRPr="004A6106" w:rsidRDefault="006D6CC6" w:rsidP="00BD10E9">
      <w:pPr>
        <w:jc w:val="both"/>
        <w:rPr>
          <w:rFonts w:ascii="Times New Roman" w:hAnsi="Times New Roman" w:cs="Times New Roman"/>
          <w:shd w:val="clear" w:color="auto" w:fill="FFFFFF"/>
          <w:lang w:val="fr-CA"/>
        </w:rPr>
      </w:pPr>
    </w:p>
    <w:p w14:paraId="2CE83257" w14:textId="77777777" w:rsidR="006D6CC6" w:rsidRPr="004A6106" w:rsidRDefault="006D6CC6" w:rsidP="00BD10E9">
      <w:pPr>
        <w:jc w:val="both"/>
        <w:rPr>
          <w:rFonts w:ascii="Times New Roman" w:hAnsi="Times New Roman" w:cs="Times New Roman"/>
          <w:shd w:val="clear" w:color="auto" w:fill="FFFFFF"/>
          <w:lang w:val="fr-CA"/>
        </w:rPr>
      </w:pPr>
    </w:p>
    <w:p w14:paraId="62E008B9" w14:textId="77777777" w:rsidR="006D6CC6" w:rsidRPr="004A6106" w:rsidRDefault="006D6CC6" w:rsidP="00BD10E9">
      <w:pPr>
        <w:jc w:val="both"/>
        <w:rPr>
          <w:rFonts w:ascii="Times New Roman" w:hAnsi="Times New Roman" w:cs="Times New Roman"/>
          <w:shd w:val="clear" w:color="auto" w:fill="FFFFFF"/>
          <w:lang w:val="fr-CA"/>
        </w:rPr>
      </w:pPr>
    </w:p>
    <w:p w14:paraId="47BB883C" w14:textId="4E50057B" w:rsidR="004A6106" w:rsidRDefault="004A6106">
      <w:pPr>
        <w:rPr>
          <w:rFonts w:ascii="Times New Roman" w:hAnsi="Times New Roman" w:cs="Times New Roman"/>
          <w:shd w:val="clear" w:color="auto" w:fill="FFFFFF"/>
          <w:lang w:val="fr-CA"/>
        </w:rPr>
      </w:pPr>
      <w:r>
        <w:rPr>
          <w:rFonts w:ascii="Times New Roman" w:hAnsi="Times New Roman" w:cs="Times New Roman"/>
          <w:shd w:val="clear" w:color="auto" w:fill="FFFFFF"/>
          <w:lang w:val="fr-CA"/>
        </w:rPr>
        <w:br w:type="page"/>
      </w:r>
    </w:p>
    <w:p w14:paraId="549E6EA1" w14:textId="292FED02" w:rsidR="006D6CC6" w:rsidRPr="004A6106" w:rsidRDefault="001861C1" w:rsidP="004A6106">
      <w:pPr>
        <w:pStyle w:val="Heading2"/>
        <w:ind w:left="0" w:firstLine="0"/>
        <w:rPr>
          <w:lang w:val="fr-CA"/>
        </w:rPr>
      </w:pPr>
      <w:r w:rsidRPr="004A6106">
        <w:rPr>
          <w:lang w:val="fr-CA"/>
        </w:rPr>
        <w:lastRenderedPageBreak/>
        <w:t xml:space="preserve">Annexe A : </w:t>
      </w:r>
      <w:r w:rsidR="008B058A" w:rsidRPr="004A6106">
        <w:rPr>
          <w:lang w:val="fr-CA"/>
        </w:rPr>
        <w:t>Participants à l’atelier (industrie)</w:t>
      </w:r>
    </w:p>
    <w:p w14:paraId="5D0700F6" w14:textId="77777777" w:rsidR="006D6CC6" w:rsidRPr="004A6106" w:rsidRDefault="006D6CC6" w:rsidP="00BD10E9">
      <w:pPr>
        <w:pStyle w:val="BodyText"/>
        <w:ind w:left="0"/>
        <w:rPr>
          <w:lang w:val="fr-CA"/>
        </w:rPr>
      </w:pPr>
    </w:p>
    <w:p w14:paraId="70BCC6F0" w14:textId="2BEFBA84" w:rsidR="006D6CC6" w:rsidRPr="004A6106" w:rsidRDefault="001629F9" w:rsidP="00BD10E9">
      <w:pPr>
        <w:pStyle w:val="Caption"/>
        <w:rPr>
          <w:lang w:val="fr-CA"/>
        </w:rPr>
      </w:pPr>
      <w:r w:rsidRPr="004A6106">
        <w:rPr>
          <w:lang w:val="fr-CA"/>
        </w:rPr>
        <w:t>Tableau</w:t>
      </w:r>
      <w:r w:rsidR="00055067" w:rsidRPr="004A6106">
        <w:rPr>
          <w:lang w:val="fr-CA"/>
        </w:rPr>
        <w:t> </w:t>
      </w:r>
      <w:r w:rsidRPr="004A6106">
        <w:rPr>
          <w:lang w:val="fr-CA"/>
        </w:rPr>
        <w:fldChar w:fldCharType="begin"/>
      </w:r>
      <w:r w:rsidRPr="004A6106">
        <w:rPr>
          <w:lang w:val="fr-CA"/>
        </w:rPr>
        <w:instrText xml:space="preserve"> SEQ Table \* ARABIC </w:instrText>
      </w:r>
      <w:r w:rsidRPr="004A6106">
        <w:rPr>
          <w:lang w:val="fr-CA"/>
        </w:rPr>
        <w:fldChar w:fldCharType="separate"/>
      </w:r>
      <w:r w:rsidRPr="004A6106">
        <w:rPr>
          <w:noProof/>
          <w:lang w:val="fr-CA"/>
        </w:rPr>
        <w:t>1</w:t>
      </w:r>
      <w:r w:rsidRPr="004A6106">
        <w:rPr>
          <w:noProof/>
          <w:lang w:val="fr-CA"/>
        </w:rPr>
        <w:fldChar w:fldCharType="end"/>
      </w:r>
      <w:r w:rsidR="00055067" w:rsidRPr="004A6106">
        <w:rPr>
          <w:noProof/>
          <w:lang w:val="fr-CA"/>
        </w:rPr>
        <w:t> </w:t>
      </w:r>
      <w:r w:rsidRPr="004A6106">
        <w:rPr>
          <w:lang w:val="fr-CA"/>
        </w:rPr>
        <w:t xml:space="preserve">: </w:t>
      </w:r>
      <w:r w:rsidR="00E3121B" w:rsidRPr="004A6106">
        <w:rPr>
          <w:lang w:val="fr-CA"/>
        </w:rPr>
        <w:t xml:space="preserve">Participants à l’atelier autres que </w:t>
      </w:r>
      <w:r w:rsidR="00D46B59" w:rsidRPr="004A6106">
        <w:rPr>
          <w:lang w:val="fr-CA"/>
        </w:rPr>
        <w:t>d</w:t>
      </w:r>
      <w:r w:rsidR="00E3121B" w:rsidRPr="004A6106">
        <w:rPr>
          <w:lang w:val="fr-CA"/>
        </w:rPr>
        <w:t>es SSE (22 mars 2023)</w:t>
      </w:r>
    </w:p>
    <w:tbl>
      <w:tblPr>
        <w:tblStyle w:val="TableGrid"/>
        <w:tblW w:w="0" w:type="auto"/>
        <w:tblLook w:val="04A0" w:firstRow="1" w:lastRow="0" w:firstColumn="1" w:lastColumn="0" w:noHBand="0" w:noVBand="1"/>
      </w:tblPr>
      <w:tblGrid>
        <w:gridCol w:w="4675"/>
        <w:gridCol w:w="4675"/>
      </w:tblGrid>
      <w:tr w:rsidR="006F4A12" w:rsidRPr="004A6106" w14:paraId="2A470238" w14:textId="77777777" w:rsidTr="00131794">
        <w:tc>
          <w:tcPr>
            <w:tcW w:w="4675" w:type="dxa"/>
          </w:tcPr>
          <w:p w14:paraId="1528E2C5" w14:textId="4D71FDA4" w:rsidR="006D6CC6" w:rsidRPr="004A6106" w:rsidRDefault="00180C0D" w:rsidP="00131794">
            <w:pPr>
              <w:pStyle w:val="BodyText"/>
              <w:ind w:left="0"/>
              <w:jc w:val="center"/>
              <w:rPr>
                <w:b/>
                <w:bCs/>
                <w:lang w:val="fr-CA"/>
              </w:rPr>
            </w:pPr>
            <w:r w:rsidRPr="004A6106">
              <w:rPr>
                <w:b/>
                <w:bCs/>
                <w:lang w:val="fr-CA"/>
              </w:rPr>
              <w:t>Organisation</w:t>
            </w:r>
          </w:p>
        </w:tc>
        <w:tc>
          <w:tcPr>
            <w:tcW w:w="4675" w:type="dxa"/>
          </w:tcPr>
          <w:p w14:paraId="5C906386" w14:textId="3EF677F5" w:rsidR="006D6CC6" w:rsidRPr="004A6106" w:rsidRDefault="002C487C" w:rsidP="00131794">
            <w:pPr>
              <w:pStyle w:val="BodyText"/>
              <w:ind w:left="0"/>
              <w:jc w:val="center"/>
              <w:rPr>
                <w:b/>
                <w:bCs/>
                <w:lang w:val="fr-CA"/>
              </w:rPr>
            </w:pPr>
            <w:r w:rsidRPr="004A6106">
              <w:rPr>
                <w:b/>
                <w:bCs/>
                <w:lang w:val="fr-CA"/>
              </w:rPr>
              <w:t>Nombre de participants</w:t>
            </w:r>
          </w:p>
        </w:tc>
      </w:tr>
      <w:tr w:rsidR="006F4A12" w:rsidRPr="004A6106" w14:paraId="64AA9CDB" w14:textId="77777777" w:rsidTr="00131794">
        <w:tc>
          <w:tcPr>
            <w:tcW w:w="4675" w:type="dxa"/>
          </w:tcPr>
          <w:p w14:paraId="012CDF76" w14:textId="4C60730C" w:rsidR="006D6CC6" w:rsidRPr="004A6106" w:rsidRDefault="00171064" w:rsidP="00131794">
            <w:pPr>
              <w:pStyle w:val="BodyText"/>
              <w:ind w:left="0"/>
              <w:rPr>
                <w:lang w:val="fr-CA"/>
              </w:rPr>
            </w:pPr>
            <w:r w:rsidRPr="004A6106">
              <w:rPr>
                <w:lang w:val="fr-CA"/>
              </w:rPr>
              <w:t>Association nucléaire canadienne</w:t>
            </w:r>
          </w:p>
        </w:tc>
        <w:tc>
          <w:tcPr>
            <w:tcW w:w="4675" w:type="dxa"/>
          </w:tcPr>
          <w:p w14:paraId="31855F6D" w14:textId="77777777" w:rsidR="006D6CC6" w:rsidRPr="004A6106" w:rsidRDefault="00CC46AF" w:rsidP="00131794">
            <w:pPr>
              <w:pStyle w:val="BodyText"/>
              <w:ind w:left="0"/>
              <w:rPr>
                <w:lang w:val="fr-CA"/>
              </w:rPr>
            </w:pPr>
            <w:r w:rsidRPr="004A6106">
              <w:rPr>
                <w:lang w:val="fr-CA"/>
              </w:rPr>
              <w:t>2</w:t>
            </w:r>
          </w:p>
        </w:tc>
      </w:tr>
      <w:tr w:rsidR="006F4A12" w:rsidRPr="004A6106" w14:paraId="64970BAC" w14:textId="77777777" w:rsidTr="00131794">
        <w:tc>
          <w:tcPr>
            <w:tcW w:w="4675" w:type="dxa"/>
          </w:tcPr>
          <w:p w14:paraId="0050751C" w14:textId="5E89C092" w:rsidR="006D6CC6" w:rsidRPr="004A6106" w:rsidRDefault="00791F75" w:rsidP="00131794">
            <w:pPr>
              <w:pStyle w:val="BodyText"/>
              <w:ind w:left="0"/>
              <w:rPr>
                <w:lang w:val="fr-CA"/>
              </w:rPr>
            </w:pPr>
            <w:r w:rsidRPr="004A6106">
              <w:rPr>
                <w:lang w:val="fr-CA"/>
              </w:rPr>
              <w:t>Groupe des propriétaires de CANDU</w:t>
            </w:r>
          </w:p>
        </w:tc>
        <w:tc>
          <w:tcPr>
            <w:tcW w:w="4675" w:type="dxa"/>
          </w:tcPr>
          <w:p w14:paraId="29A9726A" w14:textId="77777777" w:rsidR="006D6CC6" w:rsidRPr="004A6106" w:rsidRDefault="00CC46AF" w:rsidP="00131794">
            <w:pPr>
              <w:pStyle w:val="BodyText"/>
              <w:ind w:left="0"/>
              <w:rPr>
                <w:lang w:val="fr-CA"/>
              </w:rPr>
            </w:pPr>
            <w:r w:rsidRPr="004A6106">
              <w:rPr>
                <w:lang w:val="fr-CA"/>
              </w:rPr>
              <w:t>2</w:t>
            </w:r>
          </w:p>
        </w:tc>
      </w:tr>
      <w:tr w:rsidR="006F4A12" w:rsidRPr="004A6106" w14:paraId="49216629" w14:textId="77777777" w:rsidTr="00131794">
        <w:tc>
          <w:tcPr>
            <w:tcW w:w="4675" w:type="dxa"/>
          </w:tcPr>
          <w:p w14:paraId="11A7B26F" w14:textId="0FEAAED0" w:rsidR="006D6CC6" w:rsidRPr="004A6106" w:rsidRDefault="006B5102" w:rsidP="00131794">
            <w:pPr>
              <w:pStyle w:val="BodyText"/>
              <w:ind w:left="0"/>
              <w:rPr>
                <w:lang w:val="fr-CA"/>
              </w:rPr>
            </w:pPr>
            <w:r w:rsidRPr="004A6106">
              <w:rPr>
                <w:lang w:val="fr-CA"/>
              </w:rPr>
              <w:t>Bruce Power</w:t>
            </w:r>
          </w:p>
        </w:tc>
        <w:tc>
          <w:tcPr>
            <w:tcW w:w="4675" w:type="dxa"/>
          </w:tcPr>
          <w:p w14:paraId="697503D8" w14:textId="77777777" w:rsidR="006D6CC6" w:rsidRPr="004A6106" w:rsidRDefault="00CC46AF" w:rsidP="00131794">
            <w:pPr>
              <w:pStyle w:val="BodyText"/>
              <w:ind w:left="0"/>
              <w:rPr>
                <w:lang w:val="fr-CA"/>
              </w:rPr>
            </w:pPr>
            <w:r w:rsidRPr="004A6106">
              <w:rPr>
                <w:lang w:val="fr-CA"/>
              </w:rPr>
              <w:t>3</w:t>
            </w:r>
          </w:p>
        </w:tc>
      </w:tr>
      <w:tr w:rsidR="006F4A12" w:rsidRPr="004A6106" w14:paraId="49D20DFD" w14:textId="77777777" w:rsidTr="00131794">
        <w:tc>
          <w:tcPr>
            <w:tcW w:w="4675" w:type="dxa"/>
          </w:tcPr>
          <w:p w14:paraId="215913EE" w14:textId="77777777" w:rsidR="006D6CC6" w:rsidRPr="004A6106" w:rsidRDefault="00CC46AF" w:rsidP="00131794">
            <w:pPr>
              <w:pStyle w:val="BodyText"/>
              <w:ind w:left="0"/>
              <w:rPr>
                <w:lang w:val="fr-CA"/>
              </w:rPr>
            </w:pPr>
            <w:r w:rsidRPr="004A6106">
              <w:rPr>
                <w:lang w:val="fr-CA"/>
              </w:rPr>
              <w:t xml:space="preserve">Ontario Power </w:t>
            </w:r>
            <w:proofErr w:type="spellStart"/>
            <w:r w:rsidRPr="004A6106">
              <w:rPr>
                <w:lang w:val="fr-CA"/>
              </w:rPr>
              <w:t>Generation</w:t>
            </w:r>
            <w:proofErr w:type="spellEnd"/>
          </w:p>
        </w:tc>
        <w:tc>
          <w:tcPr>
            <w:tcW w:w="4675" w:type="dxa"/>
          </w:tcPr>
          <w:p w14:paraId="715E4D8D" w14:textId="77777777" w:rsidR="006D6CC6" w:rsidRPr="004A6106" w:rsidRDefault="00CC46AF" w:rsidP="00131794">
            <w:pPr>
              <w:pStyle w:val="BodyText"/>
              <w:ind w:left="0"/>
              <w:rPr>
                <w:lang w:val="fr-CA"/>
              </w:rPr>
            </w:pPr>
            <w:r w:rsidRPr="004A6106">
              <w:rPr>
                <w:lang w:val="fr-CA"/>
              </w:rPr>
              <w:t>5</w:t>
            </w:r>
          </w:p>
        </w:tc>
      </w:tr>
      <w:tr w:rsidR="006F4A12" w:rsidRPr="004A6106" w14:paraId="1A8E4FF7" w14:textId="77777777" w:rsidTr="00131794">
        <w:tc>
          <w:tcPr>
            <w:tcW w:w="4675" w:type="dxa"/>
          </w:tcPr>
          <w:p w14:paraId="1A6F6ED1" w14:textId="72AFA100" w:rsidR="006D6CC6" w:rsidRPr="004A6106" w:rsidRDefault="001B1C02" w:rsidP="00131794">
            <w:pPr>
              <w:pStyle w:val="BodyText"/>
              <w:ind w:left="0"/>
              <w:rPr>
                <w:lang w:val="fr-CA"/>
              </w:rPr>
            </w:pPr>
            <w:r w:rsidRPr="004A6106">
              <w:rPr>
                <w:lang w:val="fr-CA"/>
              </w:rPr>
              <w:t>Énergie Nouveau-Brunswick</w:t>
            </w:r>
          </w:p>
        </w:tc>
        <w:tc>
          <w:tcPr>
            <w:tcW w:w="4675" w:type="dxa"/>
          </w:tcPr>
          <w:p w14:paraId="3FFAFB7A" w14:textId="77777777" w:rsidR="006D6CC6" w:rsidRPr="004A6106" w:rsidRDefault="00CC46AF" w:rsidP="00131794">
            <w:pPr>
              <w:pStyle w:val="BodyText"/>
              <w:ind w:left="0"/>
              <w:rPr>
                <w:lang w:val="fr-CA"/>
              </w:rPr>
            </w:pPr>
            <w:r w:rsidRPr="004A6106">
              <w:rPr>
                <w:lang w:val="fr-CA"/>
              </w:rPr>
              <w:t>1</w:t>
            </w:r>
          </w:p>
        </w:tc>
      </w:tr>
      <w:tr w:rsidR="006F4A12" w:rsidRPr="004A6106" w14:paraId="2662D629" w14:textId="77777777" w:rsidTr="00131794">
        <w:tc>
          <w:tcPr>
            <w:tcW w:w="4675" w:type="dxa"/>
          </w:tcPr>
          <w:p w14:paraId="609E65A2" w14:textId="179F20B8" w:rsidR="006D6CC6" w:rsidRPr="004A6106" w:rsidRDefault="001950EC" w:rsidP="00131794">
            <w:pPr>
              <w:pStyle w:val="BodyText"/>
              <w:ind w:left="0"/>
              <w:rPr>
                <w:lang w:val="fr-CA"/>
              </w:rPr>
            </w:pPr>
            <w:r w:rsidRPr="004A6106">
              <w:rPr>
                <w:lang w:val="fr-CA"/>
              </w:rPr>
              <w:t>Laboratoires Nucléaires Canadiens</w:t>
            </w:r>
          </w:p>
        </w:tc>
        <w:tc>
          <w:tcPr>
            <w:tcW w:w="4675" w:type="dxa"/>
          </w:tcPr>
          <w:p w14:paraId="37ADECD1" w14:textId="77777777" w:rsidR="006D6CC6" w:rsidRPr="004A6106" w:rsidRDefault="00CC46AF" w:rsidP="00131794">
            <w:pPr>
              <w:pStyle w:val="BodyText"/>
              <w:ind w:left="0"/>
              <w:rPr>
                <w:lang w:val="fr-CA"/>
              </w:rPr>
            </w:pPr>
            <w:r w:rsidRPr="004A6106">
              <w:rPr>
                <w:lang w:val="fr-CA"/>
              </w:rPr>
              <w:t>1</w:t>
            </w:r>
          </w:p>
        </w:tc>
      </w:tr>
      <w:tr w:rsidR="006F4A12" w:rsidRPr="004A6106" w14:paraId="0AAB42C8" w14:textId="77777777" w:rsidTr="00131794">
        <w:tc>
          <w:tcPr>
            <w:tcW w:w="4675" w:type="dxa"/>
          </w:tcPr>
          <w:p w14:paraId="38BE9A44" w14:textId="77777777" w:rsidR="006D6CC6" w:rsidRPr="004A6106" w:rsidRDefault="00CC46AF" w:rsidP="00131794">
            <w:pPr>
              <w:pStyle w:val="BodyText"/>
              <w:ind w:left="0"/>
              <w:rPr>
                <w:lang w:val="fr-CA"/>
              </w:rPr>
            </w:pPr>
            <w:proofErr w:type="spellStart"/>
            <w:r w:rsidRPr="004A6106">
              <w:rPr>
                <w:lang w:val="fr-CA"/>
              </w:rPr>
              <w:t>Cameco</w:t>
            </w:r>
            <w:proofErr w:type="spellEnd"/>
          </w:p>
        </w:tc>
        <w:tc>
          <w:tcPr>
            <w:tcW w:w="4675" w:type="dxa"/>
          </w:tcPr>
          <w:p w14:paraId="03310576" w14:textId="77777777" w:rsidR="006D6CC6" w:rsidRPr="004A6106" w:rsidRDefault="00CC46AF" w:rsidP="00131794">
            <w:pPr>
              <w:pStyle w:val="BodyText"/>
              <w:ind w:left="0"/>
              <w:rPr>
                <w:lang w:val="fr-CA"/>
              </w:rPr>
            </w:pPr>
            <w:r w:rsidRPr="004A6106">
              <w:rPr>
                <w:lang w:val="fr-CA"/>
              </w:rPr>
              <w:t>4</w:t>
            </w:r>
          </w:p>
        </w:tc>
      </w:tr>
      <w:tr w:rsidR="006F4A12" w:rsidRPr="004A6106" w14:paraId="6804A25F" w14:textId="77777777" w:rsidTr="00131794">
        <w:tc>
          <w:tcPr>
            <w:tcW w:w="4675" w:type="dxa"/>
          </w:tcPr>
          <w:p w14:paraId="672DAE00" w14:textId="77777777" w:rsidR="006D6CC6" w:rsidRPr="004A6106" w:rsidRDefault="00CC46AF" w:rsidP="00131794">
            <w:pPr>
              <w:pStyle w:val="BodyText"/>
              <w:ind w:left="0"/>
              <w:rPr>
                <w:lang w:val="fr-CA"/>
              </w:rPr>
            </w:pPr>
            <w:proofErr w:type="spellStart"/>
            <w:r w:rsidRPr="004A6106">
              <w:rPr>
                <w:lang w:val="fr-CA"/>
              </w:rPr>
              <w:t>Nordion</w:t>
            </w:r>
            <w:proofErr w:type="spellEnd"/>
          </w:p>
        </w:tc>
        <w:tc>
          <w:tcPr>
            <w:tcW w:w="4675" w:type="dxa"/>
          </w:tcPr>
          <w:p w14:paraId="5E792170" w14:textId="77777777" w:rsidR="006D6CC6" w:rsidRPr="004A6106" w:rsidRDefault="00CC46AF" w:rsidP="00131794">
            <w:pPr>
              <w:pStyle w:val="BodyText"/>
              <w:ind w:left="0"/>
              <w:rPr>
                <w:lang w:val="fr-CA"/>
              </w:rPr>
            </w:pPr>
            <w:r w:rsidRPr="004A6106">
              <w:rPr>
                <w:lang w:val="fr-CA"/>
              </w:rPr>
              <w:t>4</w:t>
            </w:r>
          </w:p>
        </w:tc>
      </w:tr>
      <w:tr w:rsidR="006F4A12" w:rsidRPr="004A6106" w14:paraId="487EB8F1" w14:textId="77777777" w:rsidTr="00131794">
        <w:tc>
          <w:tcPr>
            <w:tcW w:w="4675" w:type="dxa"/>
          </w:tcPr>
          <w:p w14:paraId="14D60ACE" w14:textId="77777777" w:rsidR="006D6CC6" w:rsidRPr="004A6106" w:rsidRDefault="00CC46AF" w:rsidP="00131794">
            <w:pPr>
              <w:pStyle w:val="BodyText"/>
              <w:ind w:left="0"/>
              <w:rPr>
                <w:lang w:val="fr-CA"/>
              </w:rPr>
            </w:pPr>
            <w:r w:rsidRPr="004A6106">
              <w:rPr>
                <w:lang w:val="fr-CA"/>
              </w:rPr>
              <w:t>SRBT</w:t>
            </w:r>
          </w:p>
        </w:tc>
        <w:tc>
          <w:tcPr>
            <w:tcW w:w="4675" w:type="dxa"/>
          </w:tcPr>
          <w:p w14:paraId="726930B6" w14:textId="77777777" w:rsidR="006D6CC6" w:rsidRPr="004A6106" w:rsidRDefault="00CC46AF" w:rsidP="00131794">
            <w:pPr>
              <w:pStyle w:val="BodyText"/>
              <w:ind w:left="0"/>
              <w:rPr>
                <w:lang w:val="fr-CA"/>
              </w:rPr>
            </w:pPr>
            <w:r w:rsidRPr="004A6106">
              <w:rPr>
                <w:lang w:val="fr-CA"/>
              </w:rPr>
              <w:t>2</w:t>
            </w:r>
          </w:p>
        </w:tc>
      </w:tr>
      <w:tr w:rsidR="006F4A12" w:rsidRPr="004A6106" w14:paraId="2CA8A615" w14:textId="77777777" w:rsidTr="00131794">
        <w:tc>
          <w:tcPr>
            <w:tcW w:w="4675" w:type="dxa"/>
          </w:tcPr>
          <w:p w14:paraId="4089D516" w14:textId="77777777" w:rsidR="006D6CC6" w:rsidRPr="004A6106" w:rsidRDefault="00CC46AF" w:rsidP="00131794">
            <w:pPr>
              <w:pStyle w:val="BodyText"/>
              <w:ind w:left="0"/>
              <w:rPr>
                <w:lang w:val="fr-CA"/>
              </w:rPr>
            </w:pPr>
            <w:r w:rsidRPr="004A6106">
              <w:rPr>
                <w:lang w:val="fr-CA"/>
              </w:rPr>
              <w:t>Global First Power</w:t>
            </w:r>
          </w:p>
        </w:tc>
        <w:tc>
          <w:tcPr>
            <w:tcW w:w="4675" w:type="dxa"/>
          </w:tcPr>
          <w:p w14:paraId="02C0772D" w14:textId="77777777" w:rsidR="006D6CC6" w:rsidRPr="004A6106" w:rsidRDefault="00CC46AF" w:rsidP="00131794">
            <w:pPr>
              <w:pStyle w:val="BodyText"/>
              <w:ind w:left="0"/>
              <w:rPr>
                <w:lang w:val="fr-CA"/>
              </w:rPr>
            </w:pPr>
            <w:r w:rsidRPr="004A6106">
              <w:rPr>
                <w:lang w:val="fr-CA"/>
              </w:rPr>
              <w:t>1</w:t>
            </w:r>
          </w:p>
        </w:tc>
      </w:tr>
      <w:tr w:rsidR="006F4A12" w:rsidRPr="004A6106" w14:paraId="2D04B9C5" w14:textId="77777777" w:rsidTr="00131794">
        <w:tc>
          <w:tcPr>
            <w:tcW w:w="4675" w:type="dxa"/>
          </w:tcPr>
          <w:p w14:paraId="5CF837F7" w14:textId="77777777" w:rsidR="006D6CC6" w:rsidRPr="004A6106" w:rsidRDefault="00CC46AF" w:rsidP="00131794">
            <w:pPr>
              <w:pStyle w:val="BodyText"/>
              <w:ind w:left="0"/>
              <w:rPr>
                <w:lang w:val="fr-CA"/>
              </w:rPr>
            </w:pPr>
            <w:r w:rsidRPr="004A6106">
              <w:rPr>
                <w:lang w:val="fr-CA"/>
              </w:rPr>
              <w:t>BWXT</w:t>
            </w:r>
          </w:p>
        </w:tc>
        <w:tc>
          <w:tcPr>
            <w:tcW w:w="4675" w:type="dxa"/>
          </w:tcPr>
          <w:p w14:paraId="3987E263" w14:textId="77777777" w:rsidR="006D6CC6" w:rsidRPr="004A6106" w:rsidRDefault="00CC46AF" w:rsidP="00131794">
            <w:pPr>
              <w:pStyle w:val="BodyText"/>
              <w:ind w:left="0"/>
              <w:rPr>
                <w:lang w:val="fr-CA"/>
              </w:rPr>
            </w:pPr>
            <w:r w:rsidRPr="004A6106">
              <w:rPr>
                <w:lang w:val="fr-CA"/>
              </w:rPr>
              <w:t>1</w:t>
            </w:r>
          </w:p>
        </w:tc>
      </w:tr>
      <w:tr w:rsidR="006F4A12" w:rsidRPr="004A6106" w14:paraId="2FED113C" w14:textId="77777777" w:rsidTr="00131794">
        <w:tc>
          <w:tcPr>
            <w:tcW w:w="4675" w:type="dxa"/>
          </w:tcPr>
          <w:p w14:paraId="2957912F" w14:textId="77777777" w:rsidR="006D6CC6" w:rsidRPr="004A6106" w:rsidRDefault="00CC46AF" w:rsidP="00131794">
            <w:pPr>
              <w:pStyle w:val="BodyText"/>
              <w:ind w:left="0"/>
              <w:rPr>
                <w:lang w:val="fr-CA"/>
              </w:rPr>
            </w:pPr>
            <w:r w:rsidRPr="004A6106">
              <w:rPr>
                <w:lang w:val="fr-CA"/>
              </w:rPr>
              <w:t xml:space="preserve">BWXT </w:t>
            </w:r>
            <w:proofErr w:type="spellStart"/>
            <w:r w:rsidRPr="004A6106">
              <w:rPr>
                <w:lang w:val="fr-CA"/>
              </w:rPr>
              <w:t>Medical</w:t>
            </w:r>
            <w:proofErr w:type="spellEnd"/>
          </w:p>
        </w:tc>
        <w:tc>
          <w:tcPr>
            <w:tcW w:w="4675" w:type="dxa"/>
          </w:tcPr>
          <w:p w14:paraId="1F699104" w14:textId="77777777" w:rsidR="006D6CC6" w:rsidRPr="004A6106" w:rsidRDefault="00CC46AF" w:rsidP="00131794">
            <w:pPr>
              <w:pStyle w:val="BodyText"/>
              <w:ind w:left="0"/>
              <w:rPr>
                <w:lang w:val="fr-CA"/>
              </w:rPr>
            </w:pPr>
            <w:r w:rsidRPr="004A6106">
              <w:rPr>
                <w:lang w:val="fr-CA"/>
              </w:rPr>
              <w:t>1</w:t>
            </w:r>
          </w:p>
        </w:tc>
      </w:tr>
      <w:tr w:rsidR="006F4A12" w:rsidRPr="004A6106" w14:paraId="11EF7C50" w14:textId="77777777" w:rsidTr="00131794">
        <w:tc>
          <w:tcPr>
            <w:tcW w:w="4675" w:type="dxa"/>
          </w:tcPr>
          <w:p w14:paraId="34BAE8EA" w14:textId="20FA9511" w:rsidR="006D6CC6" w:rsidRPr="004A6106" w:rsidRDefault="00631DC8" w:rsidP="00131794">
            <w:pPr>
              <w:pStyle w:val="BodyText"/>
              <w:ind w:left="0"/>
              <w:rPr>
                <w:lang w:val="fr-CA"/>
              </w:rPr>
            </w:pPr>
            <w:r w:rsidRPr="004A6106">
              <w:rPr>
                <w:lang w:val="fr-CA"/>
              </w:rPr>
              <w:t>Collège militaire royal du Canada</w:t>
            </w:r>
          </w:p>
        </w:tc>
        <w:tc>
          <w:tcPr>
            <w:tcW w:w="4675" w:type="dxa"/>
          </w:tcPr>
          <w:p w14:paraId="018622BE" w14:textId="77777777" w:rsidR="006D6CC6" w:rsidRPr="004A6106" w:rsidRDefault="00CC46AF" w:rsidP="00131794">
            <w:pPr>
              <w:pStyle w:val="BodyText"/>
              <w:ind w:left="0"/>
              <w:rPr>
                <w:lang w:val="fr-CA"/>
              </w:rPr>
            </w:pPr>
            <w:r w:rsidRPr="004A6106">
              <w:rPr>
                <w:lang w:val="fr-CA"/>
              </w:rPr>
              <w:t>1</w:t>
            </w:r>
          </w:p>
        </w:tc>
      </w:tr>
      <w:tr w:rsidR="006F4A12" w:rsidRPr="004A6106" w14:paraId="6D9D7CAC" w14:textId="77777777" w:rsidTr="00131794">
        <w:tc>
          <w:tcPr>
            <w:tcW w:w="4675" w:type="dxa"/>
          </w:tcPr>
          <w:p w14:paraId="2B80BFC3" w14:textId="77777777" w:rsidR="006D6CC6" w:rsidRPr="004A6106" w:rsidRDefault="00CC46AF" w:rsidP="00131794">
            <w:pPr>
              <w:pStyle w:val="BodyText"/>
              <w:ind w:left="0"/>
              <w:rPr>
                <w:lang w:val="fr-CA"/>
              </w:rPr>
            </w:pPr>
            <w:r w:rsidRPr="004A6106">
              <w:rPr>
                <w:lang w:val="fr-CA"/>
              </w:rPr>
              <w:t>RSB</w:t>
            </w:r>
          </w:p>
        </w:tc>
        <w:tc>
          <w:tcPr>
            <w:tcW w:w="4675" w:type="dxa"/>
          </w:tcPr>
          <w:p w14:paraId="054971C0" w14:textId="77777777" w:rsidR="006D6CC6" w:rsidRPr="004A6106" w:rsidRDefault="00CC46AF" w:rsidP="00131794">
            <w:pPr>
              <w:pStyle w:val="BodyText"/>
              <w:ind w:left="0"/>
              <w:rPr>
                <w:lang w:val="fr-CA"/>
              </w:rPr>
            </w:pPr>
            <w:r w:rsidRPr="004A6106">
              <w:rPr>
                <w:lang w:val="fr-CA"/>
              </w:rPr>
              <w:t>1</w:t>
            </w:r>
          </w:p>
        </w:tc>
      </w:tr>
      <w:tr w:rsidR="006F4A12" w:rsidRPr="004A6106" w14:paraId="006E88B1" w14:textId="77777777" w:rsidTr="00131794">
        <w:tc>
          <w:tcPr>
            <w:tcW w:w="4675" w:type="dxa"/>
          </w:tcPr>
          <w:p w14:paraId="4DC4B13B" w14:textId="77777777" w:rsidR="006D6CC6" w:rsidRPr="004A6106" w:rsidRDefault="00CC46AF" w:rsidP="00131794">
            <w:pPr>
              <w:pStyle w:val="BodyText"/>
              <w:ind w:left="0"/>
              <w:rPr>
                <w:lang w:val="fr-CA"/>
              </w:rPr>
            </w:pPr>
            <w:r w:rsidRPr="004A6106">
              <w:rPr>
                <w:lang w:val="fr-CA"/>
              </w:rPr>
              <w:t>TAM</w:t>
            </w:r>
          </w:p>
        </w:tc>
        <w:tc>
          <w:tcPr>
            <w:tcW w:w="4675" w:type="dxa"/>
          </w:tcPr>
          <w:p w14:paraId="0DD00578" w14:textId="77777777" w:rsidR="006D6CC6" w:rsidRPr="004A6106" w:rsidRDefault="00CC46AF" w:rsidP="00131794">
            <w:pPr>
              <w:pStyle w:val="BodyText"/>
              <w:ind w:left="0"/>
              <w:rPr>
                <w:lang w:val="fr-CA"/>
              </w:rPr>
            </w:pPr>
            <w:r w:rsidRPr="004A6106">
              <w:rPr>
                <w:lang w:val="fr-CA"/>
              </w:rPr>
              <w:t>2</w:t>
            </w:r>
          </w:p>
        </w:tc>
      </w:tr>
      <w:tr w:rsidR="006F4A12" w:rsidRPr="004A6106" w14:paraId="0E81DEC6" w14:textId="77777777" w:rsidTr="00131794">
        <w:tc>
          <w:tcPr>
            <w:tcW w:w="4675" w:type="dxa"/>
          </w:tcPr>
          <w:p w14:paraId="2B7E9557" w14:textId="77777777" w:rsidR="006D6CC6" w:rsidRPr="004A6106" w:rsidRDefault="00CC46AF" w:rsidP="00131794">
            <w:pPr>
              <w:pStyle w:val="BodyText"/>
              <w:ind w:left="0"/>
              <w:rPr>
                <w:lang w:val="fr-CA"/>
              </w:rPr>
            </w:pPr>
            <w:proofErr w:type="spellStart"/>
            <w:r w:rsidRPr="004A6106">
              <w:rPr>
                <w:lang w:val="fr-CA"/>
              </w:rPr>
              <w:t>Sotera</w:t>
            </w:r>
            <w:proofErr w:type="spellEnd"/>
            <w:r w:rsidRPr="004A6106">
              <w:rPr>
                <w:lang w:val="fr-CA"/>
              </w:rPr>
              <w:t xml:space="preserve"> </w:t>
            </w:r>
            <w:proofErr w:type="spellStart"/>
            <w:r w:rsidRPr="004A6106">
              <w:rPr>
                <w:lang w:val="fr-CA"/>
              </w:rPr>
              <w:t>Health</w:t>
            </w:r>
            <w:proofErr w:type="spellEnd"/>
          </w:p>
        </w:tc>
        <w:tc>
          <w:tcPr>
            <w:tcW w:w="4675" w:type="dxa"/>
          </w:tcPr>
          <w:p w14:paraId="3233F66F" w14:textId="77777777" w:rsidR="006D6CC6" w:rsidRPr="004A6106" w:rsidRDefault="00CC46AF" w:rsidP="00131794">
            <w:pPr>
              <w:pStyle w:val="BodyText"/>
              <w:ind w:left="0"/>
              <w:rPr>
                <w:lang w:val="fr-CA"/>
              </w:rPr>
            </w:pPr>
            <w:r w:rsidRPr="004A6106">
              <w:rPr>
                <w:lang w:val="fr-CA"/>
              </w:rPr>
              <w:t>1</w:t>
            </w:r>
          </w:p>
        </w:tc>
      </w:tr>
    </w:tbl>
    <w:p w14:paraId="274C16FA" w14:textId="77777777" w:rsidR="006D6CC6" w:rsidRPr="004A6106" w:rsidRDefault="006D6CC6" w:rsidP="00BD10E9">
      <w:pPr>
        <w:pStyle w:val="BodyText"/>
        <w:ind w:left="0"/>
        <w:rPr>
          <w:lang w:val="fr-CA"/>
        </w:rPr>
      </w:pPr>
    </w:p>
    <w:p w14:paraId="2D1A4A21" w14:textId="77777777" w:rsidR="006D6CC6" w:rsidRPr="004A6106" w:rsidRDefault="006D6CC6" w:rsidP="00BD10E9">
      <w:pPr>
        <w:pStyle w:val="BodyText"/>
        <w:ind w:left="0"/>
        <w:rPr>
          <w:lang w:val="fr-CA"/>
        </w:rPr>
      </w:pPr>
    </w:p>
    <w:p w14:paraId="649A92E4" w14:textId="77777777" w:rsidR="006D6CC6" w:rsidRPr="004A6106" w:rsidRDefault="006D6CC6" w:rsidP="00BD10E9">
      <w:pPr>
        <w:pStyle w:val="BodyText"/>
        <w:ind w:left="0"/>
        <w:rPr>
          <w:lang w:val="fr-CA"/>
        </w:rPr>
      </w:pPr>
    </w:p>
    <w:p w14:paraId="19020E2F" w14:textId="77777777" w:rsidR="006D6CC6" w:rsidRPr="004A6106" w:rsidRDefault="006D6CC6" w:rsidP="00BD10E9">
      <w:pPr>
        <w:pStyle w:val="BodyText"/>
        <w:ind w:left="0"/>
        <w:rPr>
          <w:lang w:val="fr-CA"/>
        </w:rPr>
      </w:pPr>
    </w:p>
    <w:p w14:paraId="7EE6D8AB" w14:textId="77777777" w:rsidR="006D6CC6" w:rsidRPr="004A6106" w:rsidRDefault="006D6CC6" w:rsidP="00BD10E9">
      <w:pPr>
        <w:pStyle w:val="BodyText"/>
        <w:ind w:left="0"/>
        <w:rPr>
          <w:lang w:val="fr-CA"/>
        </w:rPr>
      </w:pPr>
    </w:p>
    <w:p w14:paraId="79130FC7" w14:textId="77777777" w:rsidR="006D6CC6" w:rsidRPr="004A6106" w:rsidRDefault="006D6CC6" w:rsidP="00BD10E9">
      <w:pPr>
        <w:pStyle w:val="BodyText"/>
        <w:ind w:left="0"/>
        <w:rPr>
          <w:lang w:val="fr-CA"/>
        </w:rPr>
      </w:pPr>
    </w:p>
    <w:p w14:paraId="6B5148A4" w14:textId="77777777" w:rsidR="006D6CC6" w:rsidRPr="004A6106" w:rsidRDefault="006D6CC6" w:rsidP="00BD10E9">
      <w:pPr>
        <w:pStyle w:val="BodyText"/>
        <w:ind w:left="0"/>
        <w:rPr>
          <w:lang w:val="fr-CA"/>
        </w:rPr>
      </w:pPr>
    </w:p>
    <w:p w14:paraId="285CA574" w14:textId="770CC5E2" w:rsidR="006D6CC6" w:rsidRPr="004A6106" w:rsidRDefault="00042DC0" w:rsidP="00BD10E9">
      <w:pPr>
        <w:pStyle w:val="Caption"/>
        <w:rPr>
          <w:lang w:val="fr-CA"/>
        </w:rPr>
      </w:pPr>
      <w:r w:rsidRPr="004A6106">
        <w:rPr>
          <w:lang w:val="fr-CA"/>
        </w:rPr>
        <w:t>Tableau</w:t>
      </w:r>
      <w:r w:rsidR="00A82D27" w:rsidRPr="004A6106">
        <w:rPr>
          <w:lang w:val="fr-CA"/>
        </w:rPr>
        <w:t> </w:t>
      </w:r>
      <w:r w:rsidRPr="004A6106">
        <w:rPr>
          <w:lang w:val="fr-CA"/>
        </w:rPr>
        <w:fldChar w:fldCharType="begin"/>
      </w:r>
      <w:r w:rsidRPr="004A6106">
        <w:rPr>
          <w:lang w:val="fr-CA"/>
        </w:rPr>
        <w:instrText xml:space="preserve"> SEQ Table \* ARABIC </w:instrText>
      </w:r>
      <w:r w:rsidRPr="004A6106">
        <w:rPr>
          <w:lang w:val="fr-CA"/>
        </w:rPr>
        <w:fldChar w:fldCharType="separate"/>
      </w:r>
      <w:r w:rsidRPr="004A6106">
        <w:rPr>
          <w:noProof/>
          <w:lang w:val="fr-CA"/>
        </w:rPr>
        <w:t>2</w:t>
      </w:r>
      <w:r w:rsidRPr="004A6106">
        <w:rPr>
          <w:noProof/>
          <w:lang w:val="fr-CA"/>
        </w:rPr>
        <w:fldChar w:fldCharType="end"/>
      </w:r>
      <w:r w:rsidR="00A82D27" w:rsidRPr="004A6106">
        <w:rPr>
          <w:noProof/>
          <w:lang w:val="fr-CA"/>
        </w:rPr>
        <w:t> </w:t>
      </w:r>
      <w:r w:rsidRPr="004A6106">
        <w:rPr>
          <w:lang w:val="fr-CA"/>
        </w:rPr>
        <w:t xml:space="preserve">: </w:t>
      </w:r>
      <w:r w:rsidR="00D46B59" w:rsidRPr="004A6106">
        <w:rPr>
          <w:lang w:val="fr-CA"/>
        </w:rPr>
        <w:t>Participants</w:t>
      </w:r>
      <w:r w:rsidR="00A82D27" w:rsidRPr="004A6106">
        <w:rPr>
          <w:lang w:val="fr-CA"/>
        </w:rPr>
        <w:t xml:space="preserve"> à l’atelier</w:t>
      </w:r>
      <w:r w:rsidR="00D46B59" w:rsidRPr="004A6106">
        <w:rPr>
          <w:lang w:val="fr-CA"/>
        </w:rPr>
        <w:t xml:space="preserve"> </w:t>
      </w:r>
      <w:r w:rsidR="004A6106" w:rsidRPr="004A6106">
        <w:rPr>
          <w:lang w:val="fr-CA"/>
        </w:rPr>
        <w:t>qui sont</w:t>
      </w:r>
      <w:r w:rsidR="00D46B59" w:rsidRPr="004A6106">
        <w:rPr>
          <w:lang w:val="fr-CA"/>
        </w:rPr>
        <w:t xml:space="preserve"> de</w:t>
      </w:r>
      <w:r w:rsidR="004A6106" w:rsidRPr="004A6106">
        <w:rPr>
          <w:lang w:val="fr-CA"/>
        </w:rPr>
        <w:t>s</w:t>
      </w:r>
      <w:r w:rsidR="00D46B59" w:rsidRPr="004A6106">
        <w:rPr>
          <w:lang w:val="fr-CA"/>
        </w:rPr>
        <w:t xml:space="preserve"> SSE</w:t>
      </w:r>
      <w:r w:rsidR="00A82D27" w:rsidRPr="004A6106">
        <w:rPr>
          <w:lang w:val="fr-CA"/>
        </w:rPr>
        <w:t xml:space="preserve"> (23 et 24 mars 2023)</w:t>
      </w:r>
    </w:p>
    <w:tbl>
      <w:tblPr>
        <w:tblStyle w:val="TableGrid"/>
        <w:tblW w:w="0" w:type="auto"/>
        <w:tblLook w:val="04A0" w:firstRow="1" w:lastRow="0" w:firstColumn="1" w:lastColumn="0" w:noHBand="0" w:noVBand="1"/>
      </w:tblPr>
      <w:tblGrid>
        <w:gridCol w:w="4675"/>
        <w:gridCol w:w="4675"/>
      </w:tblGrid>
      <w:tr w:rsidR="006F4A12" w:rsidRPr="004A6106" w14:paraId="4FFA33F9" w14:textId="77777777" w:rsidTr="00131794">
        <w:tc>
          <w:tcPr>
            <w:tcW w:w="4675" w:type="dxa"/>
          </w:tcPr>
          <w:p w14:paraId="05441FF2" w14:textId="1A7B0107" w:rsidR="006D6CC6" w:rsidRPr="004A6106" w:rsidRDefault="00BE7F65" w:rsidP="00131794">
            <w:pPr>
              <w:pStyle w:val="BodyText"/>
              <w:ind w:left="0"/>
              <w:jc w:val="center"/>
              <w:rPr>
                <w:b/>
                <w:bCs/>
                <w:lang w:val="fr-CA"/>
              </w:rPr>
            </w:pPr>
            <w:r w:rsidRPr="004A6106">
              <w:rPr>
                <w:b/>
                <w:bCs/>
                <w:lang w:val="fr-CA"/>
              </w:rPr>
              <w:t>Organisation</w:t>
            </w:r>
          </w:p>
        </w:tc>
        <w:tc>
          <w:tcPr>
            <w:tcW w:w="4675" w:type="dxa"/>
          </w:tcPr>
          <w:p w14:paraId="218A415C" w14:textId="786BA4F6" w:rsidR="006D6CC6" w:rsidRPr="004A6106" w:rsidRDefault="003D4B3C" w:rsidP="00131794">
            <w:pPr>
              <w:pStyle w:val="BodyText"/>
              <w:ind w:left="0"/>
              <w:jc w:val="center"/>
              <w:rPr>
                <w:b/>
                <w:bCs/>
                <w:lang w:val="fr-CA"/>
              </w:rPr>
            </w:pPr>
            <w:r w:rsidRPr="004A6106">
              <w:rPr>
                <w:b/>
                <w:bCs/>
                <w:lang w:val="fr-CA"/>
              </w:rPr>
              <w:t>Nombre de participants</w:t>
            </w:r>
          </w:p>
        </w:tc>
      </w:tr>
      <w:tr w:rsidR="006F4A12" w:rsidRPr="004A6106" w14:paraId="669A73A7" w14:textId="77777777" w:rsidTr="00131794">
        <w:tc>
          <w:tcPr>
            <w:tcW w:w="4675" w:type="dxa"/>
          </w:tcPr>
          <w:p w14:paraId="4CA8B138" w14:textId="3A4645BB" w:rsidR="006D6CC6" w:rsidRPr="004A6106" w:rsidRDefault="00184012" w:rsidP="00131794">
            <w:pPr>
              <w:pStyle w:val="BodyText"/>
              <w:ind w:left="0"/>
              <w:rPr>
                <w:lang w:val="fr-CA"/>
              </w:rPr>
            </w:pPr>
            <w:r w:rsidRPr="004A6106">
              <w:rPr>
                <w:lang w:val="fr-CA"/>
              </w:rPr>
              <w:t>Association nucléaire canadienne</w:t>
            </w:r>
          </w:p>
        </w:tc>
        <w:tc>
          <w:tcPr>
            <w:tcW w:w="4675" w:type="dxa"/>
          </w:tcPr>
          <w:p w14:paraId="7EA3A268" w14:textId="77777777" w:rsidR="006D6CC6" w:rsidRPr="004A6106" w:rsidRDefault="00CC46AF" w:rsidP="00131794">
            <w:pPr>
              <w:pStyle w:val="BodyText"/>
              <w:ind w:left="0"/>
              <w:rPr>
                <w:lang w:val="fr-CA"/>
              </w:rPr>
            </w:pPr>
            <w:r w:rsidRPr="004A6106">
              <w:rPr>
                <w:lang w:val="fr-CA"/>
              </w:rPr>
              <w:t>2</w:t>
            </w:r>
          </w:p>
        </w:tc>
      </w:tr>
      <w:tr w:rsidR="006F4A12" w:rsidRPr="004A6106" w14:paraId="3CFDA575" w14:textId="77777777" w:rsidTr="00131794">
        <w:tc>
          <w:tcPr>
            <w:tcW w:w="4675" w:type="dxa"/>
          </w:tcPr>
          <w:p w14:paraId="4E53C1E2" w14:textId="65AD7FF9" w:rsidR="006D6CC6" w:rsidRPr="004A6106" w:rsidRDefault="00E35C66" w:rsidP="00131794">
            <w:pPr>
              <w:pStyle w:val="BodyText"/>
              <w:ind w:left="0"/>
              <w:rPr>
                <w:lang w:val="fr-CA"/>
              </w:rPr>
            </w:pPr>
            <w:r w:rsidRPr="004A6106">
              <w:rPr>
                <w:lang w:val="fr-CA"/>
              </w:rPr>
              <w:t>Groupe des propriétaires de CANDU</w:t>
            </w:r>
          </w:p>
        </w:tc>
        <w:tc>
          <w:tcPr>
            <w:tcW w:w="4675" w:type="dxa"/>
          </w:tcPr>
          <w:p w14:paraId="7E41CA5F" w14:textId="77777777" w:rsidR="006D6CC6" w:rsidRPr="004A6106" w:rsidRDefault="00CC46AF" w:rsidP="00131794">
            <w:pPr>
              <w:pStyle w:val="BodyText"/>
              <w:ind w:left="0"/>
              <w:rPr>
                <w:lang w:val="fr-CA"/>
              </w:rPr>
            </w:pPr>
            <w:r w:rsidRPr="004A6106">
              <w:rPr>
                <w:lang w:val="fr-CA"/>
              </w:rPr>
              <w:t>2</w:t>
            </w:r>
          </w:p>
        </w:tc>
      </w:tr>
      <w:tr w:rsidR="006F4A12" w:rsidRPr="004A6106" w14:paraId="270FE951" w14:textId="77777777" w:rsidTr="00131794">
        <w:tc>
          <w:tcPr>
            <w:tcW w:w="4675" w:type="dxa"/>
          </w:tcPr>
          <w:p w14:paraId="69C15896" w14:textId="59733AE3" w:rsidR="006D6CC6" w:rsidRPr="004A6106" w:rsidRDefault="009544D4" w:rsidP="00131794">
            <w:pPr>
              <w:pStyle w:val="BodyText"/>
              <w:ind w:left="0"/>
              <w:rPr>
                <w:lang w:val="fr-CA"/>
              </w:rPr>
            </w:pPr>
            <w:r w:rsidRPr="004A6106">
              <w:rPr>
                <w:lang w:val="fr-CA"/>
              </w:rPr>
              <w:t>Bruce Power</w:t>
            </w:r>
          </w:p>
        </w:tc>
        <w:tc>
          <w:tcPr>
            <w:tcW w:w="4675" w:type="dxa"/>
          </w:tcPr>
          <w:p w14:paraId="39705F97" w14:textId="77777777" w:rsidR="006D6CC6" w:rsidRPr="004A6106" w:rsidRDefault="00CC46AF" w:rsidP="00131794">
            <w:pPr>
              <w:pStyle w:val="BodyText"/>
              <w:ind w:left="0"/>
              <w:rPr>
                <w:lang w:val="fr-CA"/>
              </w:rPr>
            </w:pPr>
            <w:r w:rsidRPr="004A6106">
              <w:rPr>
                <w:lang w:val="fr-CA"/>
              </w:rPr>
              <w:t>9</w:t>
            </w:r>
          </w:p>
        </w:tc>
      </w:tr>
      <w:tr w:rsidR="006F4A12" w:rsidRPr="004A6106" w14:paraId="085108EE" w14:textId="77777777" w:rsidTr="00131794">
        <w:tc>
          <w:tcPr>
            <w:tcW w:w="4675" w:type="dxa"/>
          </w:tcPr>
          <w:p w14:paraId="28768A84" w14:textId="77777777" w:rsidR="006D6CC6" w:rsidRPr="004A6106" w:rsidRDefault="00CC46AF" w:rsidP="00131794">
            <w:pPr>
              <w:pStyle w:val="BodyText"/>
              <w:ind w:left="0"/>
              <w:rPr>
                <w:lang w:val="fr-CA"/>
              </w:rPr>
            </w:pPr>
            <w:r w:rsidRPr="004A6106">
              <w:rPr>
                <w:lang w:val="fr-CA"/>
              </w:rPr>
              <w:t xml:space="preserve">Ontario Power </w:t>
            </w:r>
            <w:proofErr w:type="spellStart"/>
            <w:r w:rsidRPr="004A6106">
              <w:rPr>
                <w:lang w:val="fr-CA"/>
              </w:rPr>
              <w:t>Generation</w:t>
            </w:r>
            <w:proofErr w:type="spellEnd"/>
          </w:p>
        </w:tc>
        <w:tc>
          <w:tcPr>
            <w:tcW w:w="4675" w:type="dxa"/>
          </w:tcPr>
          <w:p w14:paraId="66ACA55F" w14:textId="77777777" w:rsidR="006D6CC6" w:rsidRPr="004A6106" w:rsidRDefault="00CC46AF" w:rsidP="00131794">
            <w:pPr>
              <w:pStyle w:val="BodyText"/>
              <w:ind w:left="0"/>
              <w:rPr>
                <w:lang w:val="fr-CA"/>
              </w:rPr>
            </w:pPr>
            <w:r w:rsidRPr="004A6106">
              <w:rPr>
                <w:lang w:val="fr-CA"/>
              </w:rPr>
              <w:t>12</w:t>
            </w:r>
          </w:p>
        </w:tc>
      </w:tr>
      <w:tr w:rsidR="006F4A12" w:rsidRPr="004A6106" w14:paraId="59F1449D" w14:textId="77777777" w:rsidTr="00131794">
        <w:tc>
          <w:tcPr>
            <w:tcW w:w="4675" w:type="dxa"/>
          </w:tcPr>
          <w:p w14:paraId="27D036A7" w14:textId="0E48B7C9" w:rsidR="006D6CC6" w:rsidRPr="004A6106" w:rsidRDefault="00060959" w:rsidP="00131794">
            <w:pPr>
              <w:pStyle w:val="BodyText"/>
              <w:ind w:left="0"/>
              <w:rPr>
                <w:lang w:val="fr-CA"/>
              </w:rPr>
            </w:pPr>
            <w:r w:rsidRPr="004A6106">
              <w:rPr>
                <w:lang w:val="fr-CA"/>
              </w:rPr>
              <w:t>Énergie</w:t>
            </w:r>
            <w:r w:rsidR="003C01AA">
              <w:rPr>
                <w:lang w:val="fr-CA"/>
              </w:rPr>
              <w:t xml:space="preserve"> du</w:t>
            </w:r>
            <w:r w:rsidRPr="004A6106">
              <w:rPr>
                <w:lang w:val="fr-CA"/>
              </w:rPr>
              <w:t xml:space="preserve"> Nouveau-Brunswick</w:t>
            </w:r>
          </w:p>
        </w:tc>
        <w:tc>
          <w:tcPr>
            <w:tcW w:w="4675" w:type="dxa"/>
          </w:tcPr>
          <w:p w14:paraId="79CD743D" w14:textId="77777777" w:rsidR="006D6CC6" w:rsidRPr="004A6106" w:rsidRDefault="00CC46AF" w:rsidP="00131794">
            <w:pPr>
              <w:pStyle w:val="BodyText"/>
              <w:ind w:left="0"/>
              <w:rPr>
                <w:lang w:val="fr-CA"/>
              </w:rPr>
            </w:pPr>
            <w:r w:rsidRPr="004A6106">
              <w:rPr>
                <w:lang w:val="fr-CA"/>
              </w:rPr>
              <w:t>4</w:t>
            </w:r>
          </w:p>
        </w:tc>
      </w:tr>
      <w:tr w:rsidR="006F4A12" w:rsidRPr="004A6106" w14:paraId="62720D2B" w14:textId="77777777" w:rsidTr="00131794">
        <w:tc>
          <w:tcPr>
            <w:tcW w:w="4675" w:type="dxa"/>
          </w:tcPr>
          <w:p w14:paraId="17E23000" w14:textId="1B1617C9" w:rsidR="006D6CC6" w:rsidRPr="004A6106" w:rsidRDefault="002950B2" w:rsidP="00131794">
            <w:pPr>
              <w:pStyle w:val="BodyText"/>
              <w:ind w:left="0"/>
              <w:rPr>
                <w:lang w:val="fr-CA"/>
              </w:rPr>
            </w:pPr>
            <w:r w:rsidRPr="004A6106">
              <w:rPr>
                <w:lang w:val="fr-CA"/>
              </w:rPr>
              <w:t>Laboratoires Nucléaires Canadiens</w:t>
            </w:r>
          </w:p>
        </w:tc>
        <w:tc>
          <w:tcPr>
            <w:tcW w:w="4675" w:type="dxa"/>
          </w:tcPr>
          <w:p w14:paraId="5B58383B" w14:textId="77777777" w:rsidR="006D6CC6" w:rsidRPr="004A6106" w:rsidRDefault="00CC46AF" w:rsidP="00131794">
            <w:pPr>
              <w:pStyle w:val="BodyText"/>
              <w:ind w:left="0"/>
              <w:rPr>
                <w:lang w:val="fr-CA"/>
              </w:rPr>
            </w:pPr>
            <w:r w:rsidRPr="004A6106">
              <w:rPr>
                <w:lang w:val="fr-CA"/>
              </w:rPr>
              <w:t>4</w:t>
            </w:r>
          </w:p>
        </w:tc>
      </w:tr>
      <w:tr w:rsidR="006F4A12" w:rsidRPr="004A6106" w14:paraId="71D86482" w14:textId="77777777" w:rsidTr="00131794">
        <w:tc>
          <w:tcPr>
            <w:tcW w:w="4675" w:type="dxa"/>
          </w:tcPr>
          <w:p w14:paraId="4C700D60" w14:textId="484590C1" w:rsidR="006D6CC6" w:rsidRPr="004A6106" w:rsidRDefault="009C77BC" w:rsidP="00131794">
            <w:pPr>
              <w:pStyle w:val="BodyText"/>
              <w:ind w:left="0"/>
              <w:rPr>
                <w:lang w:val="fr-CA"/>
              </w:rPr>
            </w:pPr>
            <w:r w:rsidRPr="004A6106">
              <w:rPr>
                <w:lang w:val="fr-CA"/>
              </w:rPr>
              <w:t>Hydro-Québec</w:t>
            </w:r>
          </w:p>
        </w:tc>
        <w:tc>
          <w:tcPr>
            <w:tcW w:w="4675" w:type="dxa"/>
          </w:tcPr>
          <w:p w14:paraId="01BE0527" w14:textId="77777777" w:rsidR="006D6CC6" w:rsidRPr="004A6106" w:rsidRDefault="00CC46AF" w:rsidP="00131794">
            <w:pPr>
              <w:pStyle w:val="BodyText"/>
              <w:ind w:left="0"/>
              <w:rPr>
                <w:lang w:val="fr-CA"/>
              </w:rPr>
            </w:pPr>
            <w:r w:rsidRPr="004A6106">
              <w:rPr>
                <w:lang w:val="fr-CA"/>
              </w:rPr>
              <w:t>1</w:t>
            </w:r>
          </w:p>
        </w:tc>
      </w:tr>
      <w:tr w:rsidR="006F4A12" w:rsidRPr="004A6106" w14:paraId="0D86506A" w14:textId="77777777" w:rsidTr="00131794">
        <w:tc>
          <w:tcPr>
            <w:tcW w:w="4675" w:type="dxa"/>
          </w:tcPr>
          <w:p w14:paraId="1594CA0A" w14:textId="2C0BAFBE" w:rsidR="006D6CC6" w:rsidRPr="004A6106" w:rsidRDefault="00520A16" w:rsidP="00131794">
            <w:pPr>
              <w:pStyle w:val="BodyText"/>
              <w:ind w:left="0"/>
              <w:rPr>
                <w:lang w:val="fr-CA"/>
              </w:rPr>
            </w:pPr>
            <w:r w:rsidRPr="004A6106">
              <w:rPr>
                <w:lang w:val="fr-CA"/>
              </w:rPr>
              <w:t>SGDN</w:t>
            </w:r>
          </w:p>
        </w:tc>
        <w:tc>
          <w:tcPr>
            <w:tcW w:w="4675" w:type="dxa"/>
          </w:tcPr>
          <w:p w14:paraId="0817A0F3" w14:textId="77777777" w:rsidR="006D6CC6" w:rsidRPr="004A6106" w:rsidRDefault="00CC46AF" w:rsidP="00131794">
            <w:pPr>
              <w:pStyle w:val="BodyText"/>
              <w:ind w:left="0"/>
              <w:rPr>
                <w:lang w:val="fr-CA"/>
              </w:rPr>
            </w:pPr>
            <w:r w:rsidRPr="004A6106">
              <w:rPr>
                <w:lang w:val="fr-CA"/>
              </w:rPr>
              <w:t>1</w:t>
            </w:r>
          </w:p>
        </w:tc>
      </w:tr>
      <w:tr w:rsidR="006F4A12" w:rsidRPr="004A6106" w14:paraId="21583B03" w14:textId="77777777" w:rsidTr="00131794">
        <w:tc>
          <w:tcPr>
            <w:tcW w:w="4675" w:type="dxa"/>
          </w:tcPr>
          <w:p w14:paraId="74C7A695" w14:textId="77777777" w:rsidR="006D6CC6" w:rsidRPr="004A6106" w:rsidRDefault="00CC46AF" w:rsidP="00131794">
            <w:pPr>
              <w:pStyle w:val="BodyText"/>
              <w:ind w:left="0"/>
              <w:rPr>
                <w:lang w:val="fr-CA"/>
              </w:rPr>
            </w:pPr>
            <w:r w:rsidRPr="004A6106">
              <w:rPr>
                <w:lang w:val="fr-CA"/>
              </w:rPr>
              <w:t>KINECTRICS</w:t>
            </w:r>
          </w:p>
        </w:tc>
        <w:tc>
          <w:tcPr>
            <w:tcW w:w="4675" w:type="dxa"/>
          </w:tcPr>
          <w:p w14:paraId="2A4E8530" w14:textId="77777777" w:rsidR="006D6CC6" w:rsidRPr="004A6106" w:rsidRDefault="00CC46AF" w:rsidP="00131794">
            <w:pPr>
              <w:pStyle w:val="BodyText"/>
              <w:ind w:left="0"/>
              <w:rPr>
                <w:lang w:val="fr-CA"/>
              </w:rPr>
            </w:pPr>
            <w:r w:rsidRPr="004A6106">
              <w:rPr>
                <w:lang w:val="fr-CA"/>
              </w:rPr>
              <w:t>1</w:t>
            </w:r>
          </w:p>
        </w:tc>
      </w:tr>
      <w:tr w:rsidR="006F4A12" w:rsidRPr="004A6106" w14:paraId="2F2866F6" w14:textId="77777777" w:rsidTr="00131794">
        <w:tc>
          <w:tcPr>
            <w:tcW w:w="4675" w:type="dxa"/>
          </w:tcPr>
          <w:p w14:paraId="50DC9AE3" w14:textId="77777777" w:rsidR="006D6CC6" w:rsidRPr="004A6106" w:rsidRDefault="00CC46AF" w:rsidP="00131794">
            <w:pPr>
              <w:pStyle w:val="BodyText"/>
              <w:ind w:left="0"/>
              <w:rPr>
                <w:lang w:val="fr-CA"/>
              </w:rPr>
            </w:pPr>
            <w:r w:rsidRPr="004A6106">
              <w:rPr>
                <w:lang w:val="fr-CA"/>
              </w:rPr>
              <w:t>Global First Power</w:t>
            </w:r>
          </w:p>
        </w:tc>
        <w:tc>
          <w:tcPr>
            <w:tcW w:w="4675" w:type="dxa"/>
          </w:tcPr>
          <w:p w14:paraId="3A2EC42B" w14:textId="77777777" w:rsidR="006D6CC6" w:rsidRPr="004A6106" w:rsidRDefault="00CC46AF" w:rsidP="00131794">
            <w:pPr>
              <w:pStyle w:val="BodyText"/>
              <w:ind w:left="0"/>
              <w:rPr>
                <w:lang w:val="fr-CA"/>
              </w:rPr>
            </w:pPr>
            <w:r w:rsidRPr="004A6106">
              <w:rPr>
                <w:lang w:val="fr-CA"/>
              </w:rPr>
              <w:t>1</w:t>
            </w:r>
          </w:p>
        </w:tc>
      </w:tr>
      <w:tr w:rsidR="006F4A12" w:rsidRPr="004A6106" w14:paraId="4553769A" w14:textId="77777777" w:rsidTr="00131794">
        <w:tc>
          <w:tcPr>
            <w:tcW w:w="4675" w:type="dxa"/>
          </w:tcPr>
          <w:p w14:paraId="3C02ADD4" w14:textId="77777777" w:rsidR="006D6CC6" w:rsidRPr="004A6106" w:rsidRDefault="00CC46AF" w:rsidP="00131794">
            <w:pPr>
              <w:pStyle w:val="BodyText"/>
              <w:ind w:left="0"/>
              <w:rPr>
                <w:lang w:val="fr-CA"/>
              </w:rPr>
            </w:pPr>
            <w:proofErr w:type="spellStart"/>
            <w:r w:rsidRPr="004A6106">
              <w:rPr>
                <w:lang w:val="fr-CA"/>
              </w:rPr>
              <w:t>SaskPower</w:t>
            </w:r>
            <w:proofErr w:type="spellEnd"/>
          </w:p>
        </w:tc>
        <w:tc>
          <w:tcPr>
            <w:tcW w:w="4675" w:type="dxa"/>
          </w:tcPr>
          <w:p w14:paraId="4DD37C46" w14:textId="77777777" w:rsidR="006D6CC6" w:rsidRPr="004A6106" w:rsidRDefault="00CC46AF" w:rsidP="00131794">
            <w:pPr>
              <w:pStyle w:val="BodyText"/>
              <w:ind w:left="0"/>
              <w:rPr>
                <w:lang w:val="fr-CA"/>
              </w:rPr>
            </w:pPr>
            <w:r w:rsidRPr="004A6106">
              <w:rPr>
                <w:lang w:val="fr-CA"/>
              </w:rPr>
              <w:t>2</w:t>
            </w:r>
          </w:p>
        </w:tc>
      </w:tr>
    </w:tbl>
    <w:p w14:paraId="2DF9BE60" w14:textId="77777777" w:rsidR="006D6CC6" w:rsidRPr="004A6106" w:rsidRDefault="006D6CC6" w:rsidP="00BD10E9">
      <w:pPr>
        <w:pStyle w:val="BodyText"/>
        <w:ind w:left="0"/>
        <w:rPr>
          <w:lang w:val="fr-CA"/>
        </w:rPr>
      </w:pPr>
    </w:p>
    <w:p w14:paraId="610926D7" w14:textId="77777777" w:rsidR="006D6CC6" w:rsidRPr="004A6106" w:rsidRDefault="006D6CC6" w:rsidP="00BD10E9">
      <w:pPr>
        <w:pStyle w:val="BodyText"/>
        <w:rPr>
          <w:lang w:val="fr-CA"/>
        </w:rPr>
      </w:pPr>
    </w:p>
    <w:p w14:paraId="3723E843" w14:textId="77777777" w:rsidR="006D6CC6" w:rsidRPr="004A6106" w:rsidRDefault="006D6CC6" w:rsidP="00BD10E9">
      <w:pPr>
        <w:pStyle w:val="BodyText"/>
        <w:rPr>
          <w:lang w:val="fr-CA"/>
        </w:rPr>
      </w:pPr>
    </w:p>
    <w:p w14:paraId="77922A3A" w14:textId="77777777" w:rsidR="006D6CC6" w:rsidRPr="004A6106" w:rsidRDefault="006D6CC6" w:rsidP="00BD10E9">
      <w:pPr>
        <w:pStyle w:val="BodyText"/>
        <w:rPr>
          <w:lang w:val="fr-CA"/>
        </w:rPr>
      </w:pPr>
    </w:p>
    <w:p w14:paraId="3D6AF5BF" w14:textId="77777777" w:rsidR="006D6CC6" w:rsidRPr="004A6106" w:rsidRDefault="006D6CC6" w:rsidP="00BD10E9">
      <w:pPr>
        <w:pStyle w:val="BodyText"/>
        <w:rPr>
          <w:lang w:val="fr-CA"/>
        </w:rPr>
      </w:pPr>
    </w:p>
    <w:p w14:paraId="4B6271D5" w14:textId="77777777" w:rsidR="006D6CC6" w:rsidRPr="004A6106" w:rsidRDefault="006D6CC6" w:rsidP="00BD10E9">
      <w:pPr>
        <w:pStyle w:val="BodyText"/>
        <w:rPr>
          <w:lang w:val="fr-CA"/>
        </w:rPr>
      </w:pPr>
    </w:p>
    <w:p w14:paraId="1AB5E33B" w14:textId="77777777" w:rsidR="006D6CC6" w:rsidRPr="004A6106" w:rsidRDefault="006D6CC6" w:rsidP="00BD10E9">
      <w:pPr>
        <w:pStyle w:val="BodyText"/>
        <w:rPr>
          <w:lang w:val="fr-CA"/>
        </w:rPr>
      </w:pPr>
    </w:p>
    <w:p w14:paraId="19F86F2E" w14:textId="20E54A1D" w:rsidR="004A6106" w:rsidRDefault="004A6106">
      <w:pPr>
        <w:rPr>
          <w:rFonts w:ascii="Times New Roman" w:hAnsi="Times New Roman"/>
          <w:lang w:val="fr-CA"/>
        </w:rPr>
      </w:pPr>
      <w:r>
        <w:rPr>
          <w:lang w:val="fr-CA"/>
        </w:rPr>
        <w:br w:type="page"/>
      </w:r>
    </w:p>
    <w:p w14:paraId="17590CE2" w14:textId="77777777" w:rsidR="006D6CC6" w:rsidRPr="004A6106" w:rsidRDefault="006D6CC6" w:rsidP="009B01A2">
      <w:pPr>
        <w:pStyle w:val="BodyText"/>
        <w:ind w:left="0"/>
        <w:rPr>
          <w:lang w:val="fr-CA"/>
        </w:rPr>
      </w:pPr>
    </w:p>
    <w:p w14:paraId="6ACE069C" w14:textId="112B5F5B" w:rsidR="006D6CC6" w:rsidRPr="004A6106" w:rsidRDefault="009B01A2" w:rsidP="00BD10E9">
      <w:pPr>
        <w:pStyle w:val="Heading2"/>
        <w:rPr>
          <w:lang w:val="fr-CA"/>
        </w:rPr>
      </w:pPr>
      <w:r w:rsidRPr="004A6106">
        <w:rPr>
          <w:lang w:val="fr-CA"/>
        </w:rPr>
        <w:t xml:space="preserve">Annexe B : </w:t>
      </w:r>
      <w:r w:rsidR="004164D8" w:rsidRPr="004A6106">
        <w:rPr>
          <w:lang w:val="fr-CA"/>
        </w:rPr>
        <w:t>Ordre du jour de l’atelier</w:t>
      </w:r>
    </w:p>
    <w:p w14:paraId="7CE072C6" w14:textId="77777777" w:rsidR="006D6CC6" w:rsidRPr="004A6106" w:rsidRDefault="006D6CC6" w:rsidP="00BD10E9">
      <w:pPr>
        <w:jc w:val="both"/>
        <w:rPr>
          <w:rFonts w:ascii="Times New Roman" w:hAnsi="Times New Roman" w:cs="Times New Roman"/>
          <w:shd w:val="clear" w:color="auto" w:fill="FFFFFF"/>
          <w:lang w:val="fr-CA"/>
        </w:rPr>
      </w:pPr>
    </w:p>
    <w:tbl>
      <w:tblPr>
        <w:tblW w:w="4959" w:type="pct"/>
        <w:jc w:val="center"/>
        <w:tblLayout w:type="fixed"/>
        <w:tblCellMar>
          <w:left w:w="0" w:type="dxa"/>
          <w:right w:w="0" w:type="dxa"/>
        </w:tblCellMar>
        <w:tblLook w:val="0600" w:firstRow="0" w:lastRow="0" w:firstColumn="0" w:lastColumn="0" w:noHBand="1" w:noVBand="1"/>
        <w:tblDescription w:val="Header layout table"/>
      </w:tblPr>
      <w:tblGrid>
        <w:gridCol w:w="9283"/>
      </w:tblGrid>
      <w:tr w:rsidR="006F4A12" w:rsidRPr="00711938" w14:paraId="1B9AFDD4" w14:textId="77777777" w:rsidTr="00F942CC">
        <w:trPr>
          <w:trHeight w:val="99"/>
          <w:jc w:val="center"/>
        </w:trPr>
        <w:tc>
          <w:tcPr>
            <w:tcW w:w="9283" w:type="dxa"/>
          </w:tcPr>
          <w:p w14:paraId="49A0098B" w14:textId="09F46ACD" w:rsidR="006D6CC6" w:rsidRPr="004A6106" w:rsidRDefault="005879AA" w:rsidP="00131794">
            <w:pPr>
              <w:pStyle w:val="Title"/>
              <w:rPr>
                <w:sz w:val="44"/>
                <w:szCs w:val="44"/>
                <w:lang w:val="fr-CA"/>
              </w:rPr>
            </w:pPr>
            <w:r w:rsidRPr="004A6106">
              <w:rPr>
                <w:sz w:val="44"/>
                <w:szCs w:val="44"/>
                <w:lang w:val="fr-CA"/>
              </w:rPr>
              <w:t>Atelier hybride de consultation sur le RSN 2023 publié dans la GC I – Installations autres que les SSE</w:t>
            </w:r>
          </w:p>
        </w:tc>
      </w:tr>
    </w:tbl>
    <w:sdt>
      <w:sdtPr>
        <w:rPr>
          <w:lang w:val="fr-CA"/>
        </w:rPr>
        <w:id w:val="921066030"/>
        <w:placeholder>
          <w:docPart w:val="EA00B533E2A34FD39CBA907BD2392511"/>
        </w:placeholder>
        <w:temporary/>
        <w:showingPlcHdr/>
        <w15:appearance w15:val="hidden"/>
      </w:sdtPr>
      <w:sdtEndPr/>
      <w:sdtContent>
        <w:p w14:paraId="523C840A" w14:textId="4E09710B" w:rsidR="006D6CC6" w:rsidRPr="004A6106" w:rsidRDefault="00497FE9" w:rsidP="00BD10E9">
          <w:pPr>
            <w:pStyle w:val="Heading1"/>
            <w:ind w:left="0"/>
            <w:rPr>
              <w:lang w:val="fr-CA"/>
            </w:rPr>
          </w:pPr>
          <w:r w:rsidRPr="004A6106">
            <w:rPr>
              <w:lang w:val="fr-CA"/>
            </w:rPr>
            <w:t>Points à l’ordre du jour</w:t>
          </w:r>
        </w:p>
      </w:sdtContent>
    </w:sdt>
    <w:tbl>
      <w:tblPr>
        <w:tblW w:w="457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600" w:firstRow="0" w:lastRow="0" w:firstColumn="0" w:lastColumn="0" w:noHBand="1" w:noVBand="1"/>
      </w:tblPr>
      <w:tblGrid>
        <w:gridCol w:w="614"/>
        <w:gridCol w:w="2273"/>
        <w:gridCol w:w="5659"/>
      </w:tblGrid>
      <w:tr w:rsidR="006F4A12" w:rsidRPr="004A6106" w14:paraId="2A7EF8BC" w14:textId="77777777" w:rsidTr="00131794">
        <w:trPr>
          <w:trHeight w:val="851"/>
          <w:jc w:val="center"/>
        </w:trPr>
        <w:tc>
          <w:tcPr>
            <w:tcW w:w="614" w:type="dxa"/>
          </w:tcPr>
          <w:p w14:paraId="76A265D2" w14:textId="77777777" w:rsidR="006D6CC6" w:rsidRPr="004A6106" w:rsidRDefault="006D6CC6" w:rsidP="00131794">
            <w:pPr>
              <w:spacing w:before="120"/>
              <w:rPr>
                <w:lang w:val="fr-CA"/>
              </w:rPr>
            </w:pPr>
          </w:p>
        </w:tc>
        <w:tc>
          <w:tcPr>
            <w:tcW w:w="2273" w:type="dxa"/>
          </w:tcPr>
          <w:p w14:paraId="4F292299" w14:textId="163FDA57" w:rsidR="006D6CC6" w:rsidRPr="004A6106" w:rsidRDefault="00716B53" w:rsidP="00131794">
            <w:pPr>
              <w:pStyle w:val="MeetingTimes"/>
              <w:spacing w:after="120"/>
              <w:rPr>
                <w:lang w:val="fr-CA"/>
              </w:rPr>
            </w:pPr>
            <w:r w:rsidRPr="004A6106">
              <w:rPr>
                <w:lang w:val="fr-CA"/>
              </w:rPr>
              <w:t>Durée</w:t>
            </w:r>
          </w:p>
        </w:tc>
        <w:tc>
          <w:tcPr>
            <w:tcW w:w="5658" w:type="dxa"/>
          </w:tcPr>
          <w:p w14:paraId="7821246A" w14:textId="719F6391" w:rsidR="006D6CC6" w:rsidRPr="004A6106" w:rsidRDefault="003304DD" w:rsidP="00131794">
            <w:pPr>
              <w:pStyle w:val="ItemDescription"/>
              <w:spacing w:before="120"/>
              <w:rPr>
                <w:lang w:val="fr-CA"/>
              </w:rPr>
            </w:pPr>
            <w:r w:rsidRPr="004A6106">
              <w:rPr>
                <w:lang w:val="fr-CA"/>
              </w:rPr>
              <w:t>Sujet</w:t>
            </w:r>
          </w:p>
        </w:tc>
      </w:tr>
      <w:tr w:rsidR="006F4A12" w:rsidRPr="004A6106" w14:paraId="628E4AA6" w14:textId="77777777" w:rsidTr="00131794">
        <w:trPr>
          <w:trHeight w:val="851"/>
          <w:jc w:val="center"/>
        </w:trPr>
        <w:tc>
          <w:tcPr>
            <w:tcW w:w="614" w:type="dxa"/>
          </w:tcPr>
          <w:p w14:paraId="64191272" w14:textId="77777777" w:rsidR="006D6CC6" w:rsidRPr="004A6106" w:rsidRDefault="006D6CC6" w:rsidP="00131794">
            <w:pPr>
              <w:pStyle w:val="ListParagraph"/>
              <w:numPr>
                <w:ilvl w:val="0"/>
                <w:numId w:val="21"/>
              </w:numPr>
              <w:spacing w:before="120" w:after="360"/>
              <w:ind w:right="720"/>
              <w:rPr>
                <w:lang w:val="fr-CA"/>
              </w:rPr>
            </w:pPr>
          </w:p>
        </w:tc>
        <w:tc>
          <w:tcPr>
            <w:tcW w:w="2273" w:type="dxa"/>
          </w:tcPr>
          <w:p w14:paraId="306FA1E8" w14:textId="1AA264F9" w:rsidR="00F942CC" w:rsidRPr="004A6106" w:rsidRDefault="00F942CC" w:rsidP="00F942CC">
            <w:pPr>
              <w:pStyle w:val="MeetingTimes"/>
              <w:spacing w:after="120"/>
              <w:rPr>
                <w:lang w:val="fr-CA"/>
              </w:rPr>
            </w:pPr>
            <w:r w:rsidRPr="004A6106">
              <w:rPr>
                <w:lang w:val="fr-CA"/>
              </w:rPr>
              <w:t>2</w:t>
            </w:r>
            <w:r>
              <w:rPr>
                <w:lang w:val="fr-CA"/>
              </w:rPr>
              <w:t>2</w:t>
            </w:r>
            <w:r w:rsidRPr="004A6106">
              <w:rPr>
                <w:lang w:val="fr-CA"/>
              </w:rPr>
              <w:t> mars 2023</w:t>
            </w:r>
          </w:p>
          <w:p w14:paraId="568ECA8A" w14:textId="77777777" w:rsidR="00F942CC" w:rsidRDefault="00F942CC" w:rsidP="00131794">
            <w:pPr>
              <w:pStyle w:val="MeetingTimes"/>
              <w:spacing w:after="120"/>
              <w:rPr>
                <w:lang w:val="fr-CA"/>
              </w:rPr>
            </w:pPr>
          </w:p>
          <w:p w14:paraId="30E58A90" w14:textId="63087574" w:rsidR="006D6CC6" w:rsidRPr="004A6106" w:rsidRDefault="00CC46AF" w:rsidP="00131794">
            <w:pPr>
              <w:pStyle w:val="MeetingTimes"/>
              <w:spacing w:after="120"/>
              <w:rPr>
                <w:lang w:val="fr-CA"/>
              </w:rPr>
            </w:pPr>
            <w:r w:rsidRPr="004A6106">
              <w:rPr>
                <w:lang w:val="fr-CA"/>
              </w:rPr>
              <w:t>9</w:t>
            </w:r>
            <w:r w:rsidR="00255078" w:rsidRPr="004A6106">
              <w:rPr>
                <w:lang w:val="fr-CA"/>
              </w:rPr>
              <w:t> h</w:t>
            </w:r>
            <w:r w:rsidRPr="004A6106">
              <w:rPr>
                <w:lang w:val="fr-CA"/>
              </w:rPr>
              <w:t xml:space="preserve"> </w:t>
            </w:r>
            <w:r w:rsidR="00255078" w:rsidRPr="004A6106">
              <w:rPr>
                <w:lang w:val="fr-CA"/>
              </w:rPr>
              <w:t>à</w:t>
            </w:r>
            <w:r w:rsidRPr="004A6106">
              <w:rPr>
                <w:lang w:val="fr-CA"/>
              </w:rPr>
              <w:t xml:space="preserve"> 9</w:t>
            </w:r>
            <w:r w:rsidR="00255078" w:rsidRPr="004A6106">
              <w:rPr>
                <w:lang w:val="fr-CA"/>
              </w:rPr>
              <w:t> h </w:t>
            </w:r>
            <w:r w:rsidRPr="004A6106">
              <w:rPr>
                <w:lang w:val="fr-CA"/>
              </w:rPr>
              <w:t>30</w:t>
            </w:r>
          </w:p>
        </w:tc>
        <w:tc>
          <w:tcPr>
            <w:tcW w:w="5658" w:type="dxa"/>
          </w:tcPr>
          <w:p w14:paraId="0B7A1B29" w14:textId="77777777" w:rsidR="00F942CC" w:rsidRDefault="00F942CC" w:rsidP="00131794">
            <w:pPr>
              <w:pStyle w:val="ItemDescription"/>
              <w:spacing w:before="120"/>
              <w:rPr>
                <w:lang w:val="fr-CA"/>
              </w:rPr>
            </w:pPr>
          </w:p>
          <w:p w14:paraId="71018668" w14:textId="3EFD0373" w:rsidR="006D6CC6" w:rsidRPr="004A6106" w:rsidRDefault="00497FE9" w:rsidP="00131794">
            <w:pPr>
              <w:pStyle w:val="ItemDescription"/>
              <w:spacing w:before="120"/>
              <w:rPr>
                <w:lang w:val="fr-CA"/>
              </w:rPr>
            </w:pPr>
            <w:r w:rsidRPr="004A6106">
              <w:rPr>
                <w:lang w:val="fr-CA"/>
              </w:rPr>
              <w:t xml:space="preserve">Présentations  </w:t>
            </w:r>
          </w:p>
        </w:tc>
      </w:tr>
      <w:tr w:rsidR="006F4A12" w:rsidRPr="004A6106" w14:paraId="3F3F1346" w14:textId="77777777" w:rsidTr="00131794">
        <w:trPr>
          <w:trHeight w:val="851"/>
          <w:jc w:val="center"/>
        </w:trPr>
        <w:tc>
          <w:tcPr>
            <w:tcW w:w="614" w:type="dxa"/>
          </w:tcPr>
          <w:p w14:paraId="07D2C0B6" w14:textId="77777777" w:rsidR="006D6CC6" w:rsidRPr="004A6106" w:rsidRDefault="006D6CC6" w:rsidP="00131794">
            <w:pPr>
              <w:pStyle w:val="ListParagraph"/>
              <w:numPr>
                <w:ilvl w:val="0"/>
                <w:numId w:val="21"/>
              </w:numPr>
              <w:spacing w:before="40" w:after="360"/>
              <w:ind w:right="720"/>
              <w:rPr>
                <w:lang w:val="fr-CA"/>
              </w:rPr>
            </w:pPr>
          </w:p>
        </w:tc>
        <w:tc>
          <w:tcPr>
            <w:tcW w:w="2273" w:type="dxa"/>
          </w:tcPr>
          <w:p w14:paraId="3B37CA01" w14:textId="6147E842" w:rsidR="006D6CC6" w:rsidRPr="004A6106" w:rsidRDefault="00CC46AF" w:rsidP="00131794">
            <w:pPr>
              <w:pStyle w:val="MeetingTimes"/>
              <w:spacing w:before="0" w:after="120"/>
              <w:rPr>
                <w:lang w:val="fr-CA"/>
              </w:rPr>
            </w:pPr>
            <w:r w:rsidRPr="004A6106">
              <w:rPr>
                <w:lang w:val="fr-CA"/>
              </w:rPr>
              <w:t>9</w:t>
            </w:r>
            <w:r w:rsidR="00255078" w:rsidRPr="004A6106">
              <w:rPr>
                <w:lang w:val="fr-CA"/>
              </w:rPr>
              <w:t> h </w:t>
            </w:r>
            <w:r w:rsidRPr="004A6106">
              <w:rPr>
                <w:lang w:val="fr-CA"/>
              </w:rPr>
              <w:t xml:space="preserve">30 </w:t>
            </w:r>
            <w:r w:rsidR="00255078" w:rsidRPr="004A6106">
              <w:rPr>
                <w:lang w:val="fr-CA"/>
              </w:rPr>
              <w:t>à</w:t>
            </w:r>
            <w:r w:rsidRPr="004A6106">
              <w:rPr>
                <w:lang w:val="fr-CA"/>
              </w:rPr>
              <w:t xml:space="preserve"> 1</w:t>
            </w:r>
            <w:r w:rsidR="00255078" w:rsidRPr="004A6106">
              <w:rPr>
                <w:lang w:val="fr-CA"/>
              </w:rPr>
              <w:t>0 h</w:t>
            </w:r>
          </w:p>
        </w:tc>
        <w:tc>
          <w:tcPr>
            <w:tcW w:w="5658" w:type="dxa"/>
          </w:tcPr>
          <w:p w14:paraId="664D5191" w14:textId="37A69F24" w:rsidR="006D6CC6" w:rsidRPr="004A6106" w:rsidRDefault="00E0336C" w:rsidP="00131794">
            <w:pPr>
              <w:pStyle w:val="ItemDescription"/>
              <w:spacing w:before="0"/>
              <w:rPr>
                <w:lang w:val="fr-CA"/>
              </w:rPr>
            </w:pPr>
            <w:r w:rsidRPr="004A6106">
              <w:rPr>
                <w:lang w:val="fr-CA"/>
              </w:rPr>
              <w:t xml:space="preserve">Application du RSN  </w:t>
            </w:r>
          </w:p>
        </w:tc>
      </w:tr>
      <w:tr w:rsidR="006F4A12" w:rsidRPr="004A6106" w14:paraId="11CDC9A9" w14:textId="77777777" w:rsidTr="00131794">
        <w:trPr>
          <w:trHeight w:val="851"/>
          <w:jc w:val="center"/>
        </w:trPr>
        <w:tc>
          <w:tcPr>
            <w:tcW w:w="614" w:type="dxa"/>
          </w:tcPr>
          <w:p w14:paraId="71D337F9" w14:textId="77777777" w:rsidR="006D6CC6" w:rsidRPr="004A6106" w:rsidRDefault="006D6CC6" w:rsidP="00131794">
            <w:pPr>
              <w:pStyle w:val="ListParagraph"/>
              <w:numPr>
                <w:ilvl w:val="0"/>
                <w:numId w:val="21"/>
              </w:numPr>
              <w:spacing w:before="40" w:after="360"/>
              <w:ind w:right="720"/>
              <w:rPr>
                <w:lang w:val="fr-CA"/>
              </w:rPr>
            </w:pPr>
          </w:p>
        </w:tc>
        <w:tc>
          <w:tcPr>
            <w:tcW w:w="2273" w:type="dxa"/>
          </w:tcPr>
          <w:p w14:paraId="4F17399A" w14:textId="272071D6" w:rsidR="006D6CC6" w:rsidRPr="004A6106" w:rsidRDefault="00CC46AF" w:rsidP="00131794">
            <w:pPr>
              <w:pStyle w:val="MeetingTimes"/>
              <w:spacing w:before="0" w:after="120"/>
              <w:rPr>
                <w:lang w:val="fr-CA"/>
              </w:rPr>
            </w:pPr>
            <w:r w:rsidRPr="004A6106">
              <w:rPr>
                <w:lang w:val="fr-CA"/>
              </w:rPr>
              <w:t>10</w:t>
            </w:r>
            <w:r w:rsidR="00255078" w:rsidRPr="004A6106">
              <w:rPr>
                <w:lang w:val="fr-CA"/>
              </w:rPr>
              <w:t> h</w:t>
            </w:r>
            <w:r w:rsidRPr="004A6106">
              <w:rPr>
                <w:lang w:val="fr-CA"/>
              </w:rPr>
              <w:t xml:space="preserve"> </w:t>
            </w:r>
            <w:r w:rsidR="00255078" w:rsidRPr="004A6106">
              <w:rPr>
                <w:lang w:val="fr-CA"/>
              </w:rPr>
              <w:t>à</w:t>
            </w:r>
            <w:r w:rsidRPr="004A6106">
              <w:rPr>
                <w:lang w:val="fr-CA"/>
              </w:rPr>
              <w:t xml:space="preserve"> 10</w:t>
            </w:r>
            <w:r w:rsidR="00255078" w:rsidRPr="004A6106">
              <w:rPr>
                <w:lang w:val="fr-CA"/>
              </w:rPr>
              <w:t> h </w:t>
            </w:r>
            <w:r w:rsidRPr="004A6106">
              <w:rPr>
                <w:lang w:val="fr-CA"/>
              </w:rPr>
              <w:t>15</w:t>
            </w:r>
          </w:p>
        </w:tc>
        <w:tc>
          <w:tcPr>
            <w:tcW w:w="5658" w:type="dxa"/>
          </w:tcPr>
          <w:p w14:paraId="4909A362" w14:textId="2DBDD5E6" w:rsidR="006D6CC6" w:rsidRPr="004A6106" w:rsidRDefault="00255078" w:rsidP="00131794">
            <w:pPr>
              <w:pStyle w:val="ItemDescription"/>
              <w:spacing w:before="0"/>
              <w:rPr>
                <w:lang w:val="fr-CA"/>
              </w:rPr>
            </w:pPr>
            <w:r w:rsidRPr="004A6106">
              <w:rPr>
                <w:lang w:val="fr-CA"/>
              </w:rPr>
              <w:t xml:space="preserve">Pause-santé </w:t>
            </w:r>
          </w:p>
        </w:tc>
      </w:tr>
      <w:tr w:rsidR="006F4A12" w:rsidRPr="004A6106" w14:paraId="7FA35C69" w14:textId="77777777" w:rsidTr="00131794">
        <w:trPr>
          <w:trHeight w:val="851"/>
          <w:jc w:val="center"/>
        </w:trPr>
        <w:tc>
          <w:tcPr>
            <w:tcW w:w="614" w:type="dxa"/>
          </w:tcPr>
          <w:p w14:paraId="1EBE10D1" w14:textId="77777777" w:rsidR="006D6CC6" w:rsidRPr="004A6106" w:rsidRDefault="006D6CC6" w:rsidP="00131794">
            <w:pPr>
              <w:pStyle w:val="ListParagraph"/>
              <w:numPr>
                <w:ilvl w:val="0"/>
                <w:numId w:val="21"/>
              </w:numPr>
              <w:spacing w:before="40" w:after="360"/>
              <w:ind w:right="720"/>
              <w:rPr>
                <w:lang w:val="fr-CA"/>
              </w:rPr>
            </w:pPr>
          </w:p>
        </w:tc>
        <w:tc>
          <w:tcPr>
            <w:tcW w:w="2273" w:type="dxa"/>
          </w:tcPr>
          <w:p w14:paraId="7C97F325" w14:textId="2CF6B8F9" w:rsidR="006D6CC6" w:rsidRPr="004A6106" w:rsidRDefault="00CC46AF" w:rsidP="00131794">
            <w:pPr>
              <w:pStyle w:val="MeetingTimes"/>
              <w:spacing w:before="0" w:after="120"/>
              <w:rPr>
                <w:lang w:val="fr-CA"/>
              </w:rPr>
            </w:pPr>
            <w:r w:rsidRPr="004A6106">
              <w:rPr>
                <w:lang w:val="fr-CA"/>
              </w:rPr>
              <w:t>10</w:t>
            </w:r>
            <w:r w:rsidR="00255078" w:rsidRPr="004A6106">
              <w:rPr>
                <w:lang w:val="fr-CA"/>
              </w:rPr>
              <w:t> h </w:t>
            </w:r>
            <w:r w:rsidRPr="004A6106">
              <w:rPr>
                <w:lang w:val="fr-CA"/>
              </w:rPr>
              <w:t xml:space="preserve">15 </w:t>
            </w:r>
            <w:r w:rsidR="00255078" w:rsidRPr="004A6106">
              <w:rPr>
                <w:lang w:val="fr-CA"/>
              </w:rPr>
              <w:t>à</w:t>
            </w:r>
            <w:r w:rsidRPr="004A6106">
              <w:rPr>
                <w:lang w:val="fr-CA"/>
              </w:rPr>
              <w:t xml:space="preserve"> 10</w:t>
            </w:r>
            <w:r w:rsidR="00255078" w:rsidRPr="004A6106">
              <w:rPr>
                <w:lang w:val="fr-CA"/>
              </w:rPr>
              <w:t> h </w:t>
            </w:r>
            <w:r w:rsidRPr="004A6106">
              <w:rPr>
                <w:lang w:val="fr-CA"/>
              </w:rPr>
              <w:t>45</w:t>
            </w:r>
          </w:p>
        </w:tc>
        <w:tc>
          <w:tcPr>
            <w:tcW w:w="5658" w:type="dxa"/>
          </w:tcPr>
          <w:p w14:paraId="6C57CEBF" w14:textId="0BF71C0E" w:rsidR="006D6CC6" w:rsidRPr="004A6106" w:rsidRDefault="003E6EC9" w:rsidP="00131794">
            <w:pPr>
              <w:pStyle w:val="ItemDescription"/>
              <w:spacing w:before="0"/>
              <w:rPr>
                <w:lang w:val="fr-CA"/>
              </w:rPr>
            </w:pPr>
            <w:r w:rsidRPr="004A6106">
              <w:rPr>
                <w:lang w:val="fr-CA"/>
              </w:rPr>
              <w:t>Interfaces de sécurité</w:t>
            </w:r>
          </w:p>
        </w:tc>
      </w:tr>
      <w:tr w:rsidR="006F4A12" w:rsidRPr="004A6106" w14:paraId="7DEF1E15" w14:textId="77777777" w:rsidTr="00131794">
        <w:trPr>
          <w:trHeight w:val="851"/>
          <w:jc w:val="center"/>
        </w:trPr>
        <w:tc>
          <w:tcPr>
            <w:tcW w:w="614" w:type="dxa"/>
          </w:tcPr>
          <w:p w14:paraId="391D1F0E" w14:textId="77777777" w:rsidR="006D6CC6" w:rsidRPr="004A6106" w:rsidRDefault="006D6CC6" w:rsidP="00131794">
            <w:pPr>
              <w:pStyle w:val="ListParagraph"/>
              <w:numPr>
                <w:ilvl w:val="0"/>
                <w:numId w:val="21"/>
              </w:numPr>
              <w:spacing w:before="40" w:after="360"/>
              <w:ind w:right="720"/>
              <w:rPr>
                <w:lang w:val="fr-CA"/>
              </w:rPr>
            </w:pPr>
          </w:p>
        </w:tc>
        <w:tc>
          <w:tcPr>
            <w:tcW w:w="2273" w:type="dxa"/>
          </w:tcPr>
          <w:p w14:paraId="2D3D401E" w14:textId="52079A91" w:rsidR="006D6CC6" w:rsidRPr="004A6106" w:rsidRDefault="00CC46AF" w:rsidP="00131794">
            <w:pPr>
              <w:pStyle w:val="MeetingTimes"/>
              <w:spacing w:before="0" w:after="120"/>
              <w:rPr>
                <w:lang w:val="fr-CA"/>
              </w:rPr>
            </w:pPr>
            <w:r w:rsidRPr="004A6106">
              <w:rPr>
                <w:lang w:val="fr-CA"/>
              </w:rPr>
              <w:t>10</w:t>
            </w:r>
            <w:r w:rsidR="00255078" w:rsidRPr="004A6106">
              <w:rPr>
                <w:lang w:val="fr-CA"/>
              </w:rPr>
              <w:t> h </w:t>
            </w:r>
            <w:r w:rsidRPr="004A6106">
              <w:rPr>
                <w:lang w:val="fr-CA"/>
              </w:rPr>
              <w:t xml:space="preserve">45 </w:t>
            </w:r>
            <w:r w:rsidR="00255078" w:rsidRPr="004A6106">
              <w:rPr>
                <w:lang w:val="fr-CA"/>
              </w:rPr>
              <w:t>à</w:t>
            </w:r>
            <w:r w:rsidRPr="004A6106">
              <w:rPr>
                <w:lang w:val="fr-CA"/>
              </w:rPr>
              <w:t xml:space="preserve"> 11</w:t>
            </w:r>
            <w:r w:rsidR="00255078" w:rsidRPr="004A6106">
              <w:rPr>
                <w:lang w:val="fr-CA"/>
              </w:rPr>
              <w:t> h </w:t>
            </w:r>
            <w:r w:rsidRPr="004A6106">
              <w:rPr>
                <w:lang w:val="fr-CA"/>
              </w:rPr>
              <w:t>20</w:t>
            </w:r>
          </w:p>
        </w:tc>
        <w:tc>
          <w:tcPr>
            <w:tcW w:w="5658" w:type="dxa"/>
          </w:tcPr>
          <w:p w14:paraId="21D1852F" w14:textId="42EA2565" w:rsidR="006D6CC6" w:rsidRPr="004A6106" w:rsidRDefault="000527B4" w:rsidP="00131794">
            <w:pPr>
              <w:pStyle w:val="ItemDescription"/>
              <w:spacing w:before="0"/>
              <w:rPr>
                <w:lang w:val="fr-CA"/>
              </w:rPr>
            </w:pPr>
            <w:r w:rsidRPr="004A6106">
              <w:rPr>
                <w:lang w:val="fr-CA"/>
              </w:rPr>
              <w:t>Entreposage des substances nucléaires</w:t>
            </w:r>
          </w:p>
        </w:tc>
      </w:tr>
      <w:tr w:rsidR="006F4A12" w:rsidRPr="004A6106" w14:paraId="15C4F166" w14:textId="77777777" w:rsidTr="00131794">
        <w:trPr>
          <w:trHeight w:val="851"/>
          <w:jc w:val="center"/>
        </w:trPr>
        <w:tc>
          <w:tcPr>
            <w:tcW w:w="614" w:type="dxa"/>
          </w:tcPr>
          <w:p w14:paraId="59620CCE" w14:textId="77777777" w:rsidR="006D6CC6" w:rsidRPr="004A6106" w:rsidRDefault="006D6CC6" w:rsidP="00131794">
            <w:pPr>
              <w:pStyle w:val="ListParagraph"/>
              <w:numPr>
                <w:ilvl w:val="0"/>
                <w:numId w:val="21"/>
              </w:numPr>
              <w:spacing w:before="40" w:after="360"/>
              <w:ind w:right="720"/>
              <w:rPr>
                <w:lang w:val="fr-CA"/>
              </w:rPr>
            </w:pPr>
          </w:p>
        </w:tc>
        <w:tc>
          <w:tcPr>
            <w:tcW w:w="2273" w:type="dxa"/>
          </w:tcPr>
          <w:p w14:paraId="21921A5F" w14:textId="519D85EF" w:rsidR="006D6CC6" w:rsidRPr="004A6106" w:rsidRDefault="00CC46AF" w:rsidP="00131794">
            <w:pPr>
              <w:pStyle w:val="MeetingTimes"/>
              <w:spacing w:before="0" w:after="120"/>
              <w:rPr>
                <w:lang w:val="fr-CA"/>
              </w:rPr>
            </w:pPr>
            <w:r w:rsidRPr="004A6106">
              <w:rPr>
                <w:lang w:val="fr-CA"/>
              </w:rPr>
              <w:t>11</w:t>
            </w:r>
            <w:r w:rsidR="00255078" w:rsidRPr="004A6106">
              <w:rPr>
                <w:lang w:val="fr-CA"/>
              </w:rPr>
              <w:t> h </w:t>
            </w:r>
            <w:r w:rsidRPr="004A6106">
              <w:rPr>
                <w:lang w:val="fr-CA"/>
              </w:rPr>
              <w:t xml:space="preserve">20 </w:t>
            </w:r>
            <w:r w:rsidR="00255078" w:rsidRPr="004A6106">
              <w:rPr>
                <w:lang w:val="fr-CA"/>
              </w:rPr>
              <w:t>à</w:t>
            </w:r>
            <w:r w:rsidRPr="004A6106">
              <w:rPr>
                <w:lang w:val="fr-CA"/>
              </w:rPr>
              <w:t xml:space="preserve"> 11</w:t>
            </w:r>
            <w:r w:rsidR="00255078" w:rsidRPr="004A6106">
              <w:rPr>
                <w:lang w:val="fr-CA"/>
              </w:rPr>
              <w:t> h </w:t>
            </w:r>
            <w:r w:rsidRPr="004A6106">
              <w:rPr>
                <w:lang w:val="fr-CA"/>
              </w:rPr>
              <w:t>50</w:t>
            </w:r>
          </w:p>
        </w:tc>
        <w:tc>
          <w:tcPr>
            <w:tcW w:w="5658" w:type="dxa"/>
          </w:tcPr>
          <w:p w14:paraId="7D0A78B0" w14:textId="5195ADE9" w:rsidR="006D6CC6" w:rsidRPr="004A6106" w:rsidRDefault="004539C2" w:rsidP="00131794">
            <w:pPr>
              <w:pStyle w:val="ItemDescription"/>
              <w:spacing w:before="0"/>
              <w:rPr>
                <w:lang w:val="fr-CA"/>
              </w:rPr>
            </w:pPr>
            <w:r w:rsidRPr="004A6106">
              <w:rPr>
                <w:lang w:val="fr-CA"/>
              </w:rPr>
              <w:t>Accès au site/filtrage</w:t>
            </w:r>
          </w:p>
        </w:tc>
      </w:tr>
      <w:tr w:rsidR="006F4A12" w:rsidRPr="004A6106" w14:paraId="61C1A2A8" w14:textId="77777777" w:rsidTr="00131794">
        <w:trPr>
          <w:trHeight w:val="851"/>
          <w:jc w:val="center"/>
        </w:trPr>
        <w:tc>
          <w:tcPr>
            <w:tcW w:w="614" w:type="dxa"/>
          </w:tcPr>
          <w:p w14:paraId="3F6D9A77" w14:textId="77777777" w:rsidR="006D6CC6" w:rsidRPr="004A6106" w:rsidRDefault="006D6CC6" w:rsidP="00131794">
            <w:pPr>
              <w:pStyle w:val="ListParagraph"/>
              <w:numPr>
                <w:ilvl w:val="0"/>
                <w:numId w:val="21"/>
              </w:numPr>
              <w:spacing w:before="40" w:after="360"/>
              <w:ind w:right="720"/>
              <w:rPr>
                <w:lang w:val="fr-CA"/>
              </w:rPr>
            </w:pPr>
          </w:p>
        </w:tc>
        <w:tc>
          <w:tcPr>
            <w:tcW w:w="2273" w:type="dxa"/>
          </w:tcPr>
          <w:p w14:paraId="6ACB9AD9" w14:textId="1498F80E" w:rsidR="006D6CC6" w:rsidRPr="004A6106" w:rsidRDefault="00CC46AF" w:rsidP="00131794">
            <w:pPr>
              <w:pStyle w:val="MeetingTimes"/>
              <w:spacing w:before="0" w:after="120"/>
              <w:rPr>
                <w:lang w:val="fr-CA"/>
              </w:rPr>
            </w:pPr>
            <w:r w:rsidRPr="004A6106">
              <w:rPr>
                <w:lang w:val="fr-CA"/>
              </w:rPr>
              <w:t>11</w:t>
            </w:r>
            <w:r w:rsidR="00255078" w:rsidRPr="004A6106">
              <w:rPr>
                <w:lang w:val="fr-CA"/>
              </w:rPr>
              <w:t> h </w:t>
            </w:r>
            <w:r w:rsidRPr="004A6106">
              <w:rPr>
                <w:lang w:val="fr-CA"/>
              </w:rPr>
              <w:t xml:space="preserve">50 </w:t>
            </w:r>
            <w:r w:rsidR="00255078" w:rsidRPr="004A6106">
              <w:rPr>
                <w:lang w:val="fr-CA"/>
              </w:rPr>
              <w:t>à</w:t>
            </w:r>
            <w:r w:rsidRPr="004A6106">
              <w:rPr>
                <w:lang w:val="fr-CA"/>
              </w:rPr>
              <w:t xml:space="preserve"> 12</w:t>
            </w:r>
            <w:r w:rsidR="00255078" w:rsidRPr="004A6106">
              <w:rPr>
                <w:lang w:val="fr-CA"/>
              </w:rPr>
              <w:t> h </w:t>
            </w:r>
            <w:r w:rsidRPr="004A6106">
              <w:rPr>
                <w:lang w:val="fr-CA"/>
              </w:rPr>
              <w:t xml:space="preserve">30  </w:t>
            </w:r>
          </w:p>
          <w:p w14:paraId="20006BF2" w14:textId="77777777" w:rsidR="006D6CC6" w:rsidRPr="004A6106" w:rsidRDefault="006D6CC6" w:rsidP="00131794">
            <w:pPr>
              <w:pStyle w:val="MeetingTimes"/>
              <w:rPr>
                <w:lang w:val="fr-CA"/>
              </w:rPr>
            </w:pPr>
          </w:p>
        </w:tc>
        <w:tc>
          <w:tcPr>
            <w:tcW w:w="5658" w:type="dxa"/>
          </w:tcPr>
          <w:p w14:paraId="4B39F928" w14:textId="30E0A532" w:rsidR="006D6CC6" w:rsidRPr="004A6106" w:rsidRDefault="0079664B" w:rsidP="00131794">
            <w:pPr>
              <w:pStyle w:val="ItemDescription"/>
              <w:spacing w:before="0"/>
              <w:rPr>
                <w:lang w:val="fr-CA"/>
              </w:rPr>
            </w:pPr>
            <w:r w:rsidRPr="004A6106">
              <w:rPr>
                <w:lang w:val="fr-CA"/>
              </w:rPr>
              <w:t xml:space="preserve">Dîner </w:t>
            </w:r>
          </w:p>
          <w:p w14:paraId="0A184FFF" w14:textId="77777777" w:rsidR="006D6CC6" w:rsidRPr="004A6106" w:rsidRDefault="006D6CC6" w:rsidP="00131794">
            <w:pPr>
              <w:pStyle w:val="ItemDescription"/>
              <w:rPr>
                <w:lang w:val="fr-CA"/>
              </w:rPr>
            </w:pPr>
          </w:p>
        </w:tc>
      </w:tr>
      <w:tr w:rsidR="006F4A12" w:rsidRPr="00711938" w14:paraId="2A3A7FAE" w14:textId="77777777" w:rsidTr="00131794">
        <w:trPr>
          <w:trHeight w:val="851"/>
          <w:jc w:val="center"/>
        </w:trPr>
        <w:tc>
          <w:tcPr>
            <w:tcW w:w="614" w:type="dxa"/>
          </w:tcPr>
          <w:p w14:paraId="5C89E9A3" w14:textId="77777777" w:rsidR="006D6CC6" w:rsidRPr="004A6106" w:rsidRDefault="006D6CC6" w:rsidP="00131794">
            <w:pPr>
              <w:pStyle w:val="ListParagraph"/>
              <w:numPr>
                <w:ilvl w:val="0"/>
                <w:numId w:val="21"/>
              </w:numPr>
              <w:spacing w:before="40" w:after="360"/>
              <w:ind w:right="720"/>
              <w:rPr>
                <w:lang w:val="fr-CA"/>
              </w:rPr>
            </w:pPr>
          </w:p>
        </w:tc>
        <w:tc>
          <w:tcPr>
            <w:tcW w:w="2273" w:type="dxa"/>
          </w:tcPr>
          <w:p w14:paraId="31D4ED8E" w14:textId="0A76F761" w:rsidR="006D6CC6" w:rsidRPr="004A6106" w:rsidRDefault="00CC46AF" w:rsidP="00131794">
            <w:pPr>
              <w:pStyle w:val="MeetingTimes"/>
              <w:spacing w:before="0" w:after="120"/>
              <w:rPr>
                <w:lang w:val="fr-CA"/>
              </w:rPr>
            </w:pPr>
            <w:r w:rsidRPr="004A6106">
              <w:rPr>
                <w:lang w:val="fr-CA"/>
              </w:rPr>
              <w:t>12</w:t>
            </w:r>
            <w:r w:rsidR="00255078" w:rsidRPr="004A6106">
              <w:rPr>
                <w:lang w:val="fr-CA"/>
              </w:rPr>
              <w:t> h </w:t>
            </w:r>
            <w:r w:rsidRPr="004A6106">
              <w:rPr>
                <w:lang w:val="fr-CA"/>
              </w:rPr>
              <w:t xml:space="preserve">30 </w:t>
            </w:r>
            <w:r w:rsidR="00255078" w:rsidRPr="004A6106">
              <w:rPr>
                <w:lang w:val="fr-CA"/>
              </w:rPr>
              <w:t>à</w:t>
            </w:r>
            <w:r w:rsidRPr="004A6106">
              <w:rPr>
                <w:lang w:val="fr-CA"/>
              </w:rPr>
              <w:t xml:space="preserve"> 1</w:t>
            </w:r>
            <w:r w:rsidR="00255078" w:rsidRPr="004A6106">
              <w:rPr>
                <w:lang w:val="fr-CA"/>
              </w:rPr>
              <w:t>3 h</w:t>
            </w:r>
            <w:r w:rsidRPr="004A6106">
              <w:rPr>
                <w:lang w:val="fr-CA"/>
              </w:rPr>
              <w:t xml:space="preserve"> </w:t>
            </w:r>
          </w:p>
        </w:tc>
        <w:tc>
          <w:tcPr>
            <w:tcW w:w="5658" w:type="dxa"/>
          </w:tcPr>
          <w:p w14:paraId="50AA242C" w14:textId="4A8674D0" w:rsidR="006D6CC6" w:rsidRPr="004A6106" w:rsidRDefault="00766C29" w:rsidP="00131794">
            <w:pPr>
              <w:pStyle w:val="ItemDescription"/>
              <w:spacing w:before="0"/>
              <w:rPr>
                <w:lang w:val="fr-CA"/>
              </w:rPr>
            </w:pPr>
            <w:r w:rsidRPr="004A6106">
              <w:rPr>
                <w:lang w:val="fr-CA"/>
              </w:rPr>
              <w:t xml:space="preserve">Accès aux sites autres que </w:t>
            </w:r>
            <w:r w:rsidR="00D46B59" w:rsidRPr="004A6106">
              <w:rPr>
                <w:lang w:val="fr-CA"/>
              </w:rPr>
              <w:t>d</w:t>
            </w:r>
            <w:r w:rsidRPr="004A6106">
              <w:rPr>
                <w:lang w:val="fr-CA"/>
              </w:rPr>
              <w:t xml:space="preserve">es SSE </w:t>
            </w:r>
          </w:p>
        </w:tc>
      </w:tr>
      <w:tr w:rsidR="006F4A12" w:rsidRPr="00711938" w14:paraId="163EFD30" w14:textId="77777777" w:rsidTr="00131794">
        <w:trPr>
          <w:trHeight w:val="851"/>
          <w:jc w:val="center"/>
        </w:trPr>
        <w:tc>
          <w:tcPr>
            <w:tcW w:w="614" w:type="dxa"/>
          </w:tcPr>
          <w:p w14:paraId="21410BEE" w14:textId="77777777" w:rsidR="006D6CC6" w:rsidRPr="004A6106" w:rsidRDefault="006D6CC6" w:rsidP="00131794">
            <w:pPr>
              <w:pStyle w:val="ListParagraph"/>
              <w:numPr>
                <w:ilvl w:val="0"/>
                <w:numId w:val="21"/>
              </w:numPr>
              <w:spacing w:before="40" w:after="360"/>
              <w:ind w:right="720"/>
              <w:rPr>
                <w:lang w:val="fr-CA"/>
              </w:rPr>
            </w:pPr>
          </w:p>
        </w:tc>
        <w:tc>
          <w:tcPr>
            <w:tcW w:w="2273" w:type="dxa"/>
          </w:tcPr>
          <w:p w14:paraId="57737B82" w14:textId="208F0668" w:rsidR="006D6CC6" w:rsidRPr="004A6106" w:rsidRDefault="00CC46AF" w:rsidP="00131794">
            <w:pPr>
              <w:pStyle w:val="MeetingTimes"/>
              <w:spacing w:before="0" w:after="120"/>
              <w:rPr>
                <w:lang w:val="fr-CA"/>
              </w:rPr>
            </w:pPr>
            <w:r w:rsidRPr="004A6106">
              <w:rPr>
                <w:lang w:val="fr-CA"/>
              </w:rPr>
              <w:t>13</w:t>
            </w:r>
            <w:r w:rsidR="00255078" w:rsidRPr="004A6106">
              <w:rPr>
                <w:lang w:val="fr-CA"/>
              </w:rPr>
              <w:t> h</w:t>
            </w:r>
            <w:r w:rsidRPr="004A6106">
              <w:rPr>
                <w:lang w:val="fr-CA"/>
              </w:rPr>
              <w:t xml:space="preserve"> </w:t>
            </w:r>
            <w:r w:rsidR="00255078" w:rsidRPr="004A6106">
              <w:rPr>
                <w:lang w:val="fr-CA"/>
              </w:rPr>
              <w:t>à</w:t>
            </w:r>
            <w:r w:rsidRPr="004A6106">
              <w:rPr>
                <w:lang w:val="fr-CA"/>
              </w:rPr>
              <w:t xml:space="preserve"> 13</w:t>
            </w:r>
            <w:r w:rsidR="00255078" w:rsidRPr="004A6106">
              <w:rPr>
                <w:lang w:val="fr-CA"/>
              </w:rPr>
              <w:t> h </w:t>
            </w:r>
            <w:r w:rsidRPr="004A6106">
              <w:rPr>
                <w:lang w:val="fr-CA"/>
              </w:rPr>
              <w:t>30</w:t>
            </w:r>
          </w:p>
          <w:p w14:paraId="04560019" w14:textId="77777777" w:rsidR="006D6CC6" w:rsidRPr="004A6106" w:rsidRDefault="006D6CC6" w:rsidP="00131794">
            <w:pPr>
              <w:pStyle w:val="MeetingTimes"/>
              <w:rPr>
                <w:lang w:val="fr-CA"/>
              </w:rPr>
            </w:pPr>
          </w:p>
        </w:tc>
        <w:tc>
          <w:tcPr>
            <w:tcW w:w="5658" w:type="dxa"/>
          </w:tcPr>
          <w:p w14:paraId="724E78B3" w14:textId="70F9DCA5" w:rsidR="006D6CC6" w:rsidRPr="004A6106" w:rsidRDefault="00027FBA" w:rsidP="00131794">
            <w:pPr>
              <w:pStyle w:val="ItemDescription"/>
              <w:spacing w:before="0"/>
              <w:rPr>
                <w:lang w:val="fr-CA"/>
              </w:rPr>
            </w:pPr>
            <w:r w:rsidRPr="004A6106">
              <w:rPr>
                <w:lang w:val="fr-CA"/>
              </w:rPr>
              <w:t>Panneaux/fouilles pour les substances et les matières nucléaires</w:t>
            </w:r>
          </w:p>
          <w:p w14:paraId="47795F04" w14:textId="77777777" w:rsidR="006D6CC6" w:rsidRPr="004A6106" w:rsidRDefault="006D6CC6" w:rsidP="00131794">
            <w:pPr>
              <w:pStyle w:val="ItemDescription"/>
              <w:rPr>
                <w:lang w:val="fr-CA"/>
              </w:rPr>
            </w:pPr>
          </w:p>
        </w:tc>
      </w:tr>
      <w:tr w:rsidR="006F4A12" w:rsidRPr="004A6106" w14:paraId="748213ED" w14:textId="77777777" w:rsidTr="00131794">
        <w:trPr>
          <w:trHeight w:val="851"/>
          <w:jc w:val="center"/>
        </w:trPr>
        <w:tc>
          <w:tcPr>
            <w:tcW w:w="614" w:type="dxa"/>
          </w:tcPr>
          <w:p w14:paraId="0983E106" w14:textId="77777777" w:rsidR="006D6CC6" w:rsidRPr="004A6106" w:rsidRDefault="006D6CC6" w:rsidP="00131794">
            <w:pPr>
              <w:pStyle w:val="ListParagraph"/>
              <w:numPr>
                <w:ilvl w:val="0"/>
                <w:numId w:val="21"/>
              </w:numPr>
              <w:spacing w:before="40" w:after="360"/>
              <w:ind w:right="720"/>
              <w:rPr>
                <w:lang w:val="fr-CA"/>
              </w:rPr>
            </w:pPr>
          </w:p>
        </w:tc>
        <w:tc>
          <w:tcPr>
            <w:tcW w:w="2273" w:type="dxa"/>
          </w:tcPr>
          <w:p w14:paraId="235C5AB4" w14:textId="10C676E7" w:rsidR="006D6CC6" w:rsidRPr="004A6106" w:rsidRDefault="00CC46AF" w:rsidP="00131794">
            <w:pPr>
              <w:pStyle w:val="MeetingTimes"/>
              <w:spacing w:before="0" w:after="120"/>
              <w:rPr>
                <w:lang w:val="fr-CA"/>
              </w:rPr>
            </w:pPr>
            <w:r w:rsidRPr="004A6106">
              <w:rPr>
                <w:lang w:val="fr-CA"/>
              </w:rPr>
              <w:t>13</w:t>
            </w:r>
            <w:r w:rsidR="00255078" w:rsidRPr="004A6106">
              <w:rPr>
                <w:lang w:val="fr-CA"/>
              </w:rPr>
              <w:t> h </w:t>
            </w:r>
            <w:r w:rsidRPr="004A6106">
              <w:rPr>
                <w:lang w:val="fr-CA"/>
              </w:rPr>
              <w:t xml:space="preserve">30 </w:t>
            </w:r>
            <w:r w:rsidR="00255078" w:rsidRPr="004A6106">
              <w:rPr>
                <w:lang w:val="fr-CA"/>
              </w:rPr>
              <w:t>à</w:t>
            </w:r>
            <w:r w:rsidRPr="004A6106">
              <w:rPr>
                <w:lang w:val="fr-CA"/>
              </w:rPr>
              <w:t xml:space="preserve"> 14</w:t>
            </w:r>
            <w:r w:rsidR="00255078" w:rsidRPr="004A6106">
              <w:rPr>
                <w:lang w:val="fr-CA"/>
              </w:rPr>
              <w:t> h </w:t>
            </w:r>
            <w:r w:rsidRPr="004A6106">
              <w:rPr>
                <w:lang w:val="fr-CA"/>
              </w:rPr>
              <w:t>45</w:t>
            </w:r>
          </w:p>
          <w:p w14:paraId="291075B9" w14:textId="77777777" w:rsidR="006D6CC6" w:rsidRPr="004A6106" w:rsidRDefault="006D6CC6" w:rsidP="00131794">
            <w:pPr>
              <w:pStyle w:val="MeetingTimes"/>
              <w:spacing w:before="0" w:after="120"/>
              <w:rPr>
                <w:lang w:val="fr-CA"/>
              </w:rPr>
            </w:pPr>
          </w:p>
        </w:tc>
        <w:tc>
          <w:tcPr>
            <w:tcW w:w="5658" w:type="dxa"/>
          </w:tcPr>
          <w:p w14:paraId="7780F4DF" w14:textId="5C0A9433" w:rsidR="006D6CC6" w:rsidRPr="004A6106" w:rsidRDefault="00520BEF" w:rsidP="00131794">
            <w:pPr>
              <w:pStyle w:val="ItemDescription"/>
              <w:spacing w:before="0"/>
              <w:rPr>
                <w:lang w:val="fr-CA"/>
              </w:rPr>
            </w:pPr>
            <w:r w:rsidRPr="004A6106">
              <w:rPr>
                <w:lang w:val="fr-CA"/>
              </w:rPr>
              <w:t xml:space="preserve">Cybersécurité et protection des renseignements </w:t>
            </w:r>
          </w:p>
          <w:p w14:paraId="293F17D5" w14:textId="77777777" w:rsidR="006D6CC6" w:rsidRPr="004A6106" w:rsidRDefault="006D6CC6" w:rsidP="00131794">
            <w:pPr>
              <w:pStyle w:val="ItemDescription"/>
              <w:rPr>
                <w:lang w:val="fr-CA"/>
              </w:rPr>
            </w:pPr>
          </w:p>
        </w:tc>
      </w:tr>
      <w:tr w:rsidR="006F4A12" w:rsidRPr="004A6106" w14:paraId="57C4431F" w14:textId="77777777" w:rsidTr="00131794">
        <w:trPr>
          <w:trHeight w:val="851"/>
          <w:jc w:val="center"/>
        </w:trPr>
        <w:tc>
          <w:tcPr>
            <w:tcW w:w="614" w:type="dxa"/>
          </w:tcPr>
          <w:p w14:paraId="3D436B3A" w14:textId="77777777" w:rsidR="006D6CC6" w:rsidRPr="004A6106" w:rsidRDefault="006D6CC6" w:rsidP="00131794">
            <w:pPr>
              <w:pStyle w:val="ListParagraph"/>
              <w:numPr>
                <w:ilvl w:val="0"/>
                <w:numId w:val="21"/>
              </w:numPr>
              <w:spacing w:before="40" w:after="360"/>
              <w:ind w:right="720"/>
              <w:rPr>
                <w:lang w:val="fr-CA"/>
              </w:rPr>
            </w:pPr>
          </w:p>
        </w:tc>
        <w:tc>
          <w:tcPr>
            <w:tcW w:w="2273" w:type="dxa"/>
          </w:tcPr>
          <w:p w14:paraId="5E755AEC" w14:textId="401BF1D7" w:rsidR="006D6CC6" w:rsidRPr="004A6106" w:rsidRDefault="00CC46AF" w:rsidP="00131794">
            <w:pPr>
              <w:pStyle w:val="MeetingTimes"/>
              <w:spacing w:before="0" w:after="120"/>
              <w:rPr>
                <w:lang w:val="fr-CA"/>
              </w:rPr>
            </w:pPr>
            <w:r w:rsidRPr="004A6106">
              <w:rPr>
                <w:lang w:val="fr-CA"/>
              </w:rPr>
              <w:t>14</w:t>
            </w:r>
            <w:r w:rsidR="00255078" w:rsidRPr="004A6106">
              <w:rPr>
                <w:lang w:val="fr-CA"/>
              </w:rPr>
              <w:t> h </w:t>
            </w:r>
            <w:r w:rsidRPr="004A6106">
              <w:rPr>
                <w:lang w:val="fr-CA"/>
              </w:rPr>
              <w:t xml:space="preserve">45 </w:t>
            </w:r>
            <w:r w:rsidR="00255078" w:rsidRPr="004A6106">
              <w:rPr>
                <w:lang w:val="fr-CA"/>
              </w:rPr>
              <w:t>à</w:t>
            </w:r>
            <w:r w:rsidRPr="004A6106">
              <w:rPr>
                <w:lang w:val="fr-CA"/>
              </w:rPr>
              <w:t xml:space="preserve"> 15</w:t>
            </w:r>
            <w:r w:rsidR="00255078" w:rsidRPr="004A6106">
              <w:rPr>
                <w:lang w:val="fr-CA"/>
              </w:rPr>
              <w:t> h</w:t>
            </w:r>
          </w:p>
          <w:p w14:paraId="572DFB2E" w14:textId="77777777" w:rsidR="006D6CC6" w:rsidRPr="004A6106" w:rsidRDefault="006D6CC6" w:rsidP="00131794">
            <w:pPr>
              <w:pStyle w:val="MeetingTimes"/>
              <w:spacing w:before="0" w:after="120"/>
              <w:rPr>
                <w:lang w:val="fr-CA"/>
              </w:rPr>
            </w:pPr>
          </w:p>
        </w:tc>
        <w:tc>
          <w:tcPr>
            <w:tcW w:w="5658" w:type="dxa"/>
          </w:tcPr>
          <w:p w14:paraId="1A09FFAF" w14:textId="3D2EB258" w:rsidR="006D6CC6" w:rsidRPr="004A6106" w:rsidRDefault="001827C8" w:rsidP="00131794">
            <w:pPr>
              <w:pStyle w:val="ItemDescription"/>
              <w:spacing w:before="0"/>
              <w:rPr>
                <w:lang w:val="fr-CA"/>
              </w:rPr>
            </w:pPr>
            <w:r w:rsidRPr="004A6106">
              <w:rPr>
                <w:lang w:val="fr-CA"/>
              </w:rPr>
              <w:t xml:space="preserve">Pause-santé </w:t>
            </w:r>
          </w:p>
          <w:p w14:paraId="0CA2AC9A" w14:textId="77777777" w:rsidR="006D6CC6" w:rsidRPr="004A6106" w:rsidRDefault="006D6CC6" w:rsidP="00131794">
            <w:pPr>
              <w:pStyle w:val="ItemDescription"/>
              <w:rPr>
                <w:lang w:val="fr-CA"/>
              </w:rPr>
            </w:pPr>
          </w:p>
        </w:tc>
      </w:tr>
      <w:tr w:rsidR="006F4A12" w:rsidRPr="00711938" w14:paraId="5F913D0B" w14:textId="77777777" w:rsidTr="00131794">
        <w:trPr>
          <w:trHeight w:val="851"/>
          <w:jc w:val="center"/>
        </w:trPr>
        <w:tc>
          <w:tcPr>
            <w:tcW w:w="614" w:type="dxa"/>
          </w:tcPr>
          <w:p w14:paraId="1F4FD86D" w14:textId="77777777" w:rsidR="006D6CC6" w:rsidRPr="004A6106" w:rsidRDefault="006D6CC6" w:rsidP="00131794">
            <w:pPr>
              <w:pStyle w:val="ListParagraph"/>
              <w:numPr>
                <w:ilvl w:val="0"/>
                <w:numId w:val="21"/>
              </w:numPr>
              <w:spacing w:before="40" w:after="360"/>
              <w:ind w:right="720"/>
              <w:rPr>
                <w:lang w:val="fr-CA"/>
              </w:rPr>
            </w:pPr>
          </w:p>
        </w:tc>
        <w:tc>
          <w:tcPr>
            <w:tcW w:w="2273" w:type="dxa"/>
          </w:tcPr>
          <w:p w14:paraId="552E911B" w14:textId="74516D2A" w:rsidR="006D6CC6" w:rsidRPr="004A6106" w:rsidRDefault="00CC46AF" w:rsidP="00131794">
            <w:pPr>
              <w:pStyle w:val="MeetingTimes"/>
              <w:spacing w:before="0" w:after="120"/>
              <w:rPr>
                <w:lang w:val="fr-CA"/>
              </w:rPr>
            </w:pPr>
            <w:r w:rsidRPr="004A6106">
              <w:rPr>
                <w:lang w:val="fr-CA"/>
              </w:rPr>
              <w:t>15</w:t>
            </w:r>
            <w:r w:rsidR="00255078" w:rsidRPr="004A6106">
              <w:rPr>
                <w:lang w:val="fr-CA"/>
              </w:rPr>
              <w:t> h</w:t>
            </w:r>
            <w:r w:rsidRPr="004A6106">
              <w:rPr>
                <w:lang w:val="fr-CA"/>
              </w:rPr>
              <w:t xml:space="preserve"> </w:t>
            </w:r>
            <w:r w:rsidR="00255078" w:rsidRPr="004A6106">
              <w:rPr>
                <w:lang w:val="fr-CA"/>
              </w:rPr>
              <w:t>à</w:t>
            </w:r>
            <w:r w:rsidRPr="004A6106">
              <w:rPr>
                <w:lang w:val="fr-CA"/>
              </w:rPr>
              <w:t xml:space="preserve"> 15</w:t>
            </w:r>
            <w:r w:rsidR="00255078" w:rsidRPr="004A6106">
              <w:rPr>
                <w:lang w:val="fr-CA"/>
              </w:rPr>
              <w:t> h </w:t>
            </w:r>
            <w:r w:rsidRPr="004A6106">
              <w:rPr>
                <w:lang w:val="fr-CA"/>
              </w:rPr>
              <w:t xml:space="preserve">30 </w:t>
            </w:r>
          </w:p>
          <w:p w14:paraId="7681ABE5" w14:textId="77777777" w:rsidR="006D6CC6" w:rsidRPr="004A6106" w:rsidRDefault="006D6CC6" w:rsidP="00131794">
            <w:pPr>
              <w:pStyle w:val="MeetingTimes"/>
              <w:spacing w:before="0" w:after="120"/>
              <w:rPr>
                <w:lang w:val="fr-CA"/>
              </w:rPr>
            </w:pPr>
          </w:p>
        </w:tc>
        <w:tc>
          <w:tcPr>
            <w:tcW w:w="5658" w:type="dxa"/>
          </w:tcPr>
          <w:p w14:paraId="67AC7064" w14:textId="5CB44B4D" w:rsidR="006D6CC6" w:rsidRPr="004A6106" w:rsidRDefault="00CB17B3" w:rsidP="00131794">
            <w:pPr>
              <w:pStyle w:val="ItemDescription"/>
              <w:spacing w:before="0"/>
              <w:rPr>
                <w:lang w:val="fr-CA"/>
              </w:rPr>
            </w:pPr>
            <w:r w:rsidRPr="004A6106">
              <w:rPr>
                <w:lang w:val="fr-CA"/>
              </w:rPr>
              <w:t>Sécurité du transport des matières nucléaires</w:t>
            </w:r>
          </w:p>
          <w:p w14:paraId="5D60A470" w14:textId="77777777" w:rsidR="006D6CC6" w:rsidRPr="004A6106" w:rsidRDefault="006D6CC6" w:rsidP="00131794">
            <w:pPr>
              <w:pStyle w:val="ItemDescription"/>
              <w:rPr>
                <w:lang w:val="fr-CA"/>
              </w:rPr>
            </w:pPr>
          </w:p>
        </w:tc>
      </w:tr>
      <w:tr w:rsidR="006F4A12" w:rsidRPr="00711938" w14:paraId="397F58DE" w14:textId="77777777" w:rsidTr="00131794">
        <w:trPr>
          <w:trHeight w:val="851"/>
          <w:jc w:val="center"/>
        </w:trPr>
        <w:tc>
          <w:tcPr>
            <w:tcW w:w="614" w:type="dxa"/>
          </w:tcPr>
          <w:p w14:paraId="61DFBF76" w14:textId="77777777" w:rsidR="006D6CC6" w:rsidRPr="004A6106" w:rsidRDefault="006D6CC6" w:rsidP="00131794">
            <w:pPr>
              <w:pStyle w:val="ListParagraph"/>
              <w:numPr>
                <w:ilvl w:val="0"/>
                <w:numId w:val="21"/>
              </w:numPr>
              <w:spacing w:before="40" w:after="360"/>
              <w:ind w:right="720"/>
              <w:rPr>
                <w:lang w:val="fr-CA"/>
              </w:rPr>
            </w:pPr>
          </w:p>
        </w:tc>
        <w:tc>
          <w:tcPr>
            <w:tcW w:w="2273" w:type="dxa"/>
          </w:tcPr>
          <w:p w14:paraId="5FC1045B" w14:textId="62B0F6B4" w:rsidR="006D6CC6" w:rsidRPr="004A6106" w:rsidRDefault="00CC46AF" w:rsidP="00131794">
            <w:pPr>
              <w:pStyle w:val="MeetingTimes"/>
              <w:spacing w:before="0" w:after="120"/>
              <w:rPr>
                <w:lang w:val="fr-CA"/>
              </w:rPr>
            </w:pPr>
            <w:r w:rsidRPr="004A6106">
              <w:rPr>
                <w:lang w:val="fr-CA"/>
              </w:rPr>
              <w:t>15</w:t>
            </w:r>
            <w:r w:rsidR="00255078" w:rsidRPr="004A6106">
              <w:rPr>
                <w:lang w:val="fr-CA"/>
              </w:rPr>
              <w:t> h </w:t>
            </w:r>
            <w:r w:rsidRPr="004A6106">
              <w:rPr>
                <w:lang w:val="fr-CA"/>
              </w:rPr>
              <w:t xml:space="preserve">30 </w:t>
            </w:r>
            <w:r w:rsidR="00255078" w:rsidRPr="004A6106">
              <w:rPr>
                <w:lang w:val="fr-CA"/>
              </w:rPr>
              <w:t>à</w:t>
            </w:r>
            <w:r w:rsidRPr="004A6106">
              <w:rPr>
                <w:lang w:val="fr-CA"/>
              </w:rPr>
              <w:t xml:space="preserve"> 15</w:t>
            </w:r>
            <w:r w:rsidR="00255078" w:rsidRPr="004A6106">
              <w:rPr>
                <w:lang w:val="fr-CA"/>
              </w:rPr>
              <w:t> h </w:t>
            </w:r>
            <w:r w:rsidRPr="004A6106">
              <w:rPr>
                <w:lang w:val="fr-CA"/>
              </w:rPr>
              <w:t>5</w:t>
            </w:r>
            <w:r w:rsidR="00255078" w:rsidRPr="004A6106">
              <w:rPr>
                <w:lang w:val="fr-CA"/>
              </w:rPr>
              <w:t>0</w:t>
            </w:r>
          </w:p>
          <w:p w14:paraId="0AD105E2" w14:textId="77777777" w:rsidR="006D6CC6" w:rsidRPr="004A6106" w:rsidRDefault="006D6CC6" w:rsidP="00131794">
            <w:pPr>
              <w:pStyle w:val="MeetingTimes"/>
              <w:spacing w:before="0" w:after="120"/>
              <w:rPr>
                <w:lang w:val="fr-CA"/>
              </w:rPr>
            </w:pPr>
          </w:p>
        </w:tc>
        <w:tc>
          <w:tcPr>
            <w:tcW w:w="5658" w:type="dxa"/>
          </w:tcPr>
          <w:p w14:paraId="0FDB5505" w14:textId="67E87146" w:rsidR="006D6CC6" w:rsidRPr="004A6106" w:rsidRDefault="005C0B5E" w:rsidP="00131794">
            <w:pPr>
              <w:pStyle w:val="ItemDescription"/>
              <w:spacing w:before="0"/>
              <w:rPr>
                <w:lang w:val="fr-CA"/>
              </w:rPr>
            </w:pPr>
            <w:r w:rsidRPr="004A6106">
              <w:rPr>
                <w:lang w:val="fr-CA"/>
              </w:rPr>
              <w:t>Dispositions transitoires et entrée en vigueur</w:t>
            </w:r>
          </w:p>
          <w:p w14:paraId="6C5950D8" w14:textId="77777777" w:rsidR="006D6CC6" w:rsidRPr="004A6106" w:rsidRDefault="006D6CC6" w:rsidP="00131794">
            <w:pPr>
              <w:pStyle w:val="ItemDescription"/>
              <w:rPr>
                <w:lang w:val="fr-CA"/>
              </w:rPr>
            </w:pPr>
          </w:p>
        </w:tc>
      </w:tr>
      <w:tr w:rsidR="006F4A12" w:rsidRPr="004A6106" w14:paraId="19900CBF" w14:textId="77777777" w:rsidTr="00131794">
        <w:trPr>
          <w:trHeight w:val="851"/>
          <w:jc w:val="center"/>
        </w:trPr>
        <w:tc>
          <w:tcPr>
            <w:tcW w:w="614" w:type="dxa"/>
          </w:tcPr>
          <w:p w14:paraId="658113CA" w14:textId="77777777" w:rsidR="006D6CC6" w:rsidRPr="004A6106" w:rsidRDefault="006D6CC6" w:rsidP="00131794">
            <w:pPr>
              <w:pStyle w:val="ListParagraph"/>
              <w:numPr>
                <w:ilvl w:val="0"/>
                <w:numId w:val="21"/>
              </w:numPr>
              <w:spacing w:before="40" w:after="360"/>
              <w:ind w:right="720"/>
              <w:rPr>
                <w:lang w:val="fr-CA"/>
              </w:rPr>
            </w:pPr>
          </w:p>
        </w:tc>
        <w:tc>
          <w:tcPr>
            <w:tcW w:w="2273" w:type="dxa"/>
          </w:tcPr>
          <w:p w14:paraId="23E10FBD" w14:textId="5B3F7F45" w:rsidR="006D6CC6" w:rsidRPr="004A6106" w:rsidRDefault="00CC46AF" w:rsidP="00131794">
            <w:pPr>
              <w:pStyle w:val="MeetingTimes"/>
              <w:spacing w:before="0" w:after="120"/>
              <w:rPr>
                <w:lang w:val="fr-CA"/>
              </w:rPr>
            </w:pPr>
            <w:r w:rsidRPr="004A6106">
              <w:rPr>
                <w:lang w:val="fr-CA"/>
              </w:rPr>
              <w:t>15</w:t>
            </w:r>
            <w:r w:rsidR="00255078" w:rsidRPr="004A6106">
              <w:rPr>
                <w:lang w:val="fr-CA"/>
              </w:rPr>
              <w:t> h </w:t>
            </w:r>
            <w:r w:rsidRPr="004A6106">
              <w:rPr>
                <w:lang w:val="fr-CA"/>
              </w:rPr>
              <w:t xml:space="preserve">50 </w:t>
            </w:r>
            <w:r w:rsidR="00255078" w:rsidRPr="004A6106">
              <w:rPr>
                <w:lang w:val="fr-CA"/>
              </w:rPr>
              <w:t>à</w:t>
            </w:r>
            <w:r w:rsidRPr="004A6106">
              <w:rPr>
                <w:lang w:val="fr-CA"/>
              </w:rPr>
              <w:t xml:space="preserve"> 16</w:t>
            </w:r>
            <w:r w:rsidR="00255078" w:rsidRPr="004A6106">
              <w:rPr>
                <w:lang w:val="fr-CA"/>
              </w:rPr>
              <w:t> h</w:t>
            </w:r>
          </w:p>
        </w:tc>
        <w:tc>
          <w:tcPr>
            <w:tcW w:w="5658" w:type="dxa"/>
          </w:tcPr>
          <w:p w14:paraId="0C2599F5" w14:textId="33B42B22" w:rsidR="006D6CC6" w:rsidRPr="004A6106" w:rsidRDefault="00283A91" w:rsidP="00131794">
            <w:pPr>
              <w:pStyle w:val="ItemDescription"/>
              <w:rPr>
                <w:lang w:val="fr-CA"/>
              </w:rPr>
            </w:pPr>
            <w:r w:rsidRPr="004A6106">
              <w:rPr>
                <w:lang w:val="fr-CA"/>
              </w:rPr>
              <w:t>Récapitulation et prochaines étapes</w:t>
            </w:r>
          </w:p>
        </w:tc>
      </w:tr>
    </w:tbl>
    <w:p w14:paraId="4645AC77" w14:textId="77777777" w:rsidR="006D6CC6" w:rsidRPr="004A6106" w:rsidRDefault="006D6CC6" w:rsidP="00BD10E9">
      <w:pPr>
        <w:jc w:val="both"/>
        <w:rPr>
          <w:rFonts w:ascii="Times New Roman" w:hAnsi="Times New Roman" w:cs="Times New Roman"/>
          <w:shd w:val="clear" w:color="auto" w:fill="FFFFFF"/>
          <w:lang w:val="fr-CA"/>
        </w:rPr>
      </w:pPr>
    </w:p>
    <w:p w14:paraId="79F62A18" w14:textId="77777777" w:rsidR="006D6CC6" w:rsidRPr="004A6106" w:rsidRDefault="006D6CC6" w:rsidP="00BD10E9">
      <w:pPr>
        <w:jc w:val="both"/>
        <w:rPr>
          <w:rFonts w:ascii="Times New Roman" w:hAnsi="Times New Roman" w:cs="Times New Roman"/>
          <w:shd w:val="clear" w:color="auto" w:fill="FFFFFF"/>
          <w:lang w:val="fr-CA"/>
        </w:rPr>
      </w:pPr>
    </w:p>
    <w:p w14:paraId="73B9C4E4" w14:textId="77777777" w:rsidR="006D6CC6" w:rsidRPr="004A6106" w:rsidRDefault="006D6CC6" w:rsidP="00BD10E9">
      <w:pPr>
        <w:jc w:val="both"/>
        <w:rPr>
          <w:rFonts w:ascii="Times New Roman" w:hAnsi="Times New Roman" w:cs="Times New Roman"/>
          <w:shd w:val="clear" w:color="auto" w:fill="FFFFFF"/>
          <w:lang w:val="fr-CA"/>
        </w:rPr>
      </w:pPr>
    </w:p>
    <w:p w14:paraId="38C34781" w14:textId="77777777" w:rsidR="006D6CC6" w:rsidRPr="004A6106" w:rsidRDefault="006D6CC6" w:rsidP="00BD10E9">
      <w:pPr>
        <w:jc w:val="both"/>
        <w:rPr>
          <w:rFonts w:ascii="Times New Roman" w:hAnsi="Times New Roman" w:cs="Times New Roman"/>
          <w:shd w:val="clear" w:color="auto" w:fill="FFFFFF"/>
          <w:lang w:val="fr-CA"/>
        </w:rPr>
      </w:pPr>
    </w:p>
    <w:p w14:paraId="369AF043" w14:textId="77777777" w:rsidR="006D6CC6" w:rsidRPr="004A6106" w:rsidRDefault="006D6CC6" w:rsidP="00BD10E9">
      <w:pPr>
        <w:jc w:val="both"/>
        <w:rPr>
          <w:rFonts w:ascii="Times New Roman" w:hAnsi="Times New Roman" w:cs="Times New Roman"/>
          <w:shd w:val="clear" w:color="auto" w:fill="FFFFFF"/>
          <w:lang w:val="fr-CA"/>
        </w:rPr>
      </w:pPr>
    </w:p>
    <w:p w14:paraId="7100105B" w14:textId="77777777" w:rsidR="006D6CC6" w:rsidRPr="004A6106" w:rsidRDefault="006D6CC6" w:rsidP="00BD10E9">
      <w:pPr>
        <w:jc w:val="both"/>
        <w:rPr>
          <w:rFonts w:ascii="Times New Roman" w:hAnsi="Times New Roman" w:cs="Times New Roman"/>
          <w:shd w:val="clear" w:color="auto" w:fill="FFFFFF"/>
          <w:lang w:val="fr-CA"/>
        </w:rPr>
      </w:pPr>
    </w:p>
    <w:p w14:paraId="2A8060FB" w14:textId="77777777" w:rsidR="006D6CC6" w:rsidRPr="004A6106" w:rsidRDefault="006D6CC6" w:rsidP="00BD10E9">
      <w:pPr>
        <w:jc w:val="both"/>
        <w:rPr>
          <w:rFonts w:ascii="Times New Roman" w:hAnsi="Times New Roman" w:cs="Times New Roman"/>
          <w:shd w:val="clear" w:color="auto" w:fill="FFFFFF"/>
          <w:lang w:val="fr-CA"/>
        </w:rPr>
      </w:pPr>
    </w:p>
    <w:p w14:paraId="1A1542A5" w14:textId="77777777" w:rsidR="006D6CC6" w:rsidRPr="004A6106" w:rsidRDefault="006D6CC6" w:rsidP="00BD10E9">
      <w:pPr>
        <w:jc w:val="both"/>
        <w:rPr>
          <w:rFonts w:ascii="Times New Roman" w:hAnsi="Times New Roman" w:cs="Times New Roman"/>
          <w:shd w:val="clear" w:color="auto" w:fill="FFFFFF"/>
          <w:lang w:val="fr-CA"/>
        </w:rPr>
      </w:pPr>
    </w:p>
    <w:p w14:paraId="3CAA7607" w14:textId="77777777" w:rsidR="006D6CC6" w:rsidRPr="004A6106" w:rsidRDefault="006D6CC6" w:rsidP="00BD10E9">
      <w:pPr>
        <w:jc w:val="both"/>
        <w:rPr>
          <w:rFonts w:ascii="Times New Roman" w:hAnsi="Times New Roman" w:cs="Times New Roman"/>
          <w:shd w:val="clear" w:color="auto" w:fill="FFFFFF"/>
          <w:lang w:val="fr-CA"/>
        </w:rPr>
      </w:pPr>
    </w:p>
    <w:p w14:paraId="727ECC52" w14:textId="77777777" w:rsidR="006D6CC6" w:rsidRPr="004A6106" w:rsidRDefault="006D6CC6" w:rsidP="00BD10E9">
      <w:pPr>
        <w:jc w:val="both"/>
        <w:rPr>
          <w:rFonts w:ascii="Times New Roman" w:hAnsi="Times New Roman" w:cs="Times New Roman"/>
          <w:shd w:val="clear" w:color="auto" w:fill="FFFFFF"/>
          <w:lang w:val="fr-CA"/>
        </w:rPr>
      </w:pPr>
    </w:p>
    <w:p w14:paraId="05716792" w14:textId="77777777" w:rsidR="006D6CC6" w:rsidRPr="004A6106" w:rsidRDefault="006D6CC6" w:rsidP="00BD10E9">
      <w:pPr>
        <w:jc w:val="both"/>
        <w:rPr>
          <w:rFonts w:ascii="Times New Roman" w:hAnsi="Times New Roman" w:cs="Times New Roman"/>
          <w:shd w:val="clear" w:color="auto" w:fill="FFFFFF"/>
          <w:lang w:val="fr-CA"/>
        </w:rPr>
      </w:pPr>
    </w:p>
    <w:p w14:paraId="6A9EF03A" w14:textId="77777777" w:rsidR="006D6CC6" w:rsidRPr="004A6106" w:rsidRDefault="006D6CC6" w:rsidP="00BD10E9">
      <w:pPr>
        <w:jc w:val="both"/>
        <w:rPr>
          <w:rFonts w:ascii="Times New Roman" w:hAnsi="Times New Roman" w:cs="Times New Roman"/>
          <w:shd w:val="clear" w:color="auto" w:fill="FFFFFF"/>
          <w:lang w:val="fr-CA"/>
        </w:rPr>
      </w:pPr>
    </w:p>
    <w:p w14:paraId="6E72D701" w14:textId="77777777" w:rsidR="006D6CC6" w:rsidRPr="004A6106" w:rsidRDefault="006D6CC6" w:rsidP="00BD10E9">
      <w:pPr>
        <w:jc w:val="both"/>
        <w:rPr>
          <w:rFonts w:ascii="Times New Roman" w:hAnsi="Times New Roman" w:cs="Times New Roman"/>
          <w:shd w:val="clear" w:color="auto" w:fill="FFFFFF"/>
          <w:lang w:val="fr-CA"/>
        </w:rPr>
      </w:pPr>
    </w:p>
    <w:p w14:paraId="46AF3DD2" w14:textId="77777777" w:rsidR="006D6CC6" w:rsidRPr="004A6106" w:rsidRDefault="006D6CC6" w:rsidP="00BD10E9">
      <w:pPr>
        <w:jc w:val="both"/>
        <w:rPr>
          <w:rFonts w:ascii="Times New Roman" w:hAnsi="Times New Roman" w:cs="Times New Roman"/>
          <w:shd w:val="clear" w:color="auto" w:fill="FFFFFF"/>
          <w:lang w:val="fr-CA"/>
        </w:rPr>
      </w:pPr>
    </w:p>
    <w:p w14:paraId="4BE36FE3" w14:textId="77777777" w:rsidR="006D6CC6" w:rsidRPr="004A6106" w:rsidRDefault="006D6CC6" w:rsidP="00BD10E9">
      <w:pPr>
        <w:jc w:val="both"/>
        <w:rPr>
          <w:rFonts w:ascii="Times New Roman" w:hAnsi="Times New Roman" w:cs="Times New Roman"/>
          <w:shd w:val="clear" w:color="auto" w:fill="FFFFFF"/>
          <w:lang w:val="fr-CA"/>
        </w:rPr>
      </w:pPr>
    </w:p>
    <w:p w14:paraId="6F48460E" w14:textId="77777777" w:rsidR="006D6CC6" w:rsidRPr="004A6106" w:rsidRDefault="006D6CC6" w:rsidP="00BD10E9">
      <w:pPr>
        <w:jc w:val="both"/>
        <w:rPr>
          <w:rFonts w:ascii="Times New Roman" w:hAnsi="Times New Roman" w:cs="Times New Roman"/>
          <w:shd w:val="clear" w:color="auto" w:fill="FFFFFF"/>
          <w:lang w:val="fr-CA"/>
        </w:rPr>
      </w:pPr>
    </w:p>
    <w:p w14:paraId="42B48B2F" w14:textId="77777777" w:rsidR="006D6CC6" w:rsidRPr="004A6106" w:rsidRDefault="006D6CC6" w:rsidP="00BD10E9">
      <w:pPr>
        <w:jc w:val="both"/>
        <w:rPr>
          <w:rFonts w:ascii="Times New Roman" w:hAnsi="Times New Roman" w:cs="Times New Roman"/>
          <w:shd w:val="clear" w:color="auto" w:fill="FFFFFF"/>
          <w:lang w:val="fr-CA"/>
        </w:rPr>
      </w:pPr>
    </w:p>
    <w:tbl>
      <w:tblPr>
        <w:tblW w:w="4975" w:type="pct"/>
        <w:jc w:val="center"/>
        <w:tblLayout w:type="fixed"/>
        <w:tblCellMar>
          <w:left w:w="0" w:type="dxa"/>
          <w:right w:w="0" w:type="dxa"/>
        </w:tblCellMar>
        <w:tblLook w:val="0600" w:firstRow="0" w:lastRow="0" w:firstColumn="0" w:lastColumn="0" w:noHBand="1" w:noVBand="1"/>
        <w:tblDescription w:val="Header layout table"/>
      </w:tblPr>
      <w:tblGrid>
        <w:gridCol w:w="9313"/>
      </w:tblGrid>
      <w:tr w:rsidR="006F4A12" w:rsidRPr="00711938" w14:paraId="45FACA29" w14:textId="77777777" w:rsidTr="00F942CC">
        <w:trPr>
          <w:trHeight w:val="99"/>
          <w:jc w:val="center"/>
        </w:trPr>
        <w:tc>
          <w:tcPr>
            <w:tcW w:w="9313" w:type="dxa"/>
          </w:tcPr>
          <w:p w14:paraId="234C6CE8" w14:textId="29D1B7AC" w:rsidR="006D6CC6" w:rsidRPr="004A6106" w:rsidRDefault="00382EB8" w:rsidP="00131794">
            <w:pPr>
              <w:pStyle w:val="Title"/>
              <w:rPr>
                <w:sz w:val="44"/>
                <w:szCs w:val="44"/>
                <w:lang w:val="fr-CA"/>
              </w:rPr>
            </w:pPr>
            <w:r w:rsidRPr="004A6106">
              <w:rPr>
                <w:sz w:val="44"/>
                <w:szCs w:val="44"/>
                <w:lang w:val="fr-CA"/>
              </w:rPr>
              <w:lastRenderedPageBreak/>
              <w:t>Atelier hybride de consultation sur le RSN 2023 publié dans la GC I – SSE</w:t>
            </w:r>
          </w:p>
        </w:tc>
      </w:tr>
    </w:tbl>
    <w:sdt>
      <w:sdtPr>
        <w:rPr>
          <w:lang w:val="fr-CA"/>
        </w:rPr>
        <w:id w:val="1491058566"/>
        <w:placeholder>
          <w:docPart w:val="379811BE82AF4D1499B41C19FF4E7F67"/>
        </w:placeholder>
        <w:temporary/>
        <w:showingPlcHdr/>
        <w15:appearance w15:val="hidden"/>
      </w:sdtPr>
      <w:sdtEndPr/>
      <w:sdtContent>
        <w:p w14:paraId="7A2CA0E9" w14:textId="3BE9F78C" w:rsidR="006D6CC6" w:rsidRPr="004A6106" w:rsidRDefault="00557D07" w:rsidP="00BD10E9">
          <w:pPr>
            <w:pStyle w:val="Heading1"/>
            <w:rPr>
              <w:lang w:val="fr-CA"/>
            </w:rPr>
          </w:pPr>
          <w:r w:rsidRPr="004A6106">
            <w:rPr>
              <w:lang w:val="fr-CA"/>
            </w:rPr>
            <w:t>Points à l’ordre du jour</w:t>
          </w:r>
        </w:p>
      </w:sdtContent>
    </w:sdt>
    <w:tbl>
      <w:tblPr>
        <w:tblW w:w="481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600" w:firstRow="0" w:lastRow="0" w:firstColumn="0" w:lastColumn="0" w:noHBand="1" w:noVBand="1"/>
      </w:tblPr>
      <w:tblGrid>
        <w:gridCol w:w="549"/>
        <w:gridCol w:w="2338"/>
        <w:gridCol w:w="6108"/>
      </w:tblGrid>
      <w:tr w:rsidR="006F4A12" w:rsidRPr="004A6106" w14:paraId="1BCFD892" w14:textId="77777777" w:rsidTr="00131794">
        <w:trPr>
          <w:trHeight w:val="715"/>
          <w:jc w:val="center"/>
        </w:trPr>
        <w:tc>
          <w:tcPr>
            <w:tcW w:w="549" w:type="dxa"/>
          </w:tcPr>
          <w:p w14:paraId="1D25F8A4" w14:textId="77777777" w:rsidR="006D6CC6" w:rsidRPr="004A6106" w:rsidRDefault="006D6CC6" w:rsidP="00131794">
            <w:pPr>
              <w:spacing w:before="120"/>
              <w:rPr>
                <w:lang w:val="fr-CA"/>
              </w:rPr>
            </w:pPr>
          </w:p>
        </w:tc>
        <w:tc>
          <w:tcPr>
            <w:tcW w:w="2338" w:type="dxa"/>
          </w:tcPr>
          <w:p w14:paraId="54C077EE" w14:textId="0C7306A2" w:rsidR="006D6CC6" w:rsidRPr="004A6106" w:rsidRDefault="00557D07" w:rsidP="00131794">
            <w:pPr>
              <w:pStyle w:val="MeetingTimes"/>
              <w:spacing w:after="120"/>
              <w:rPr>
                <w:lang w:val="fr-CA"/>
              </w:rPr>
            </w:pPr>
            <w:r w:rsidRPr="004A6106">
              <w:rPr>
                <w:lang w:val="fr-CA"/>
              </w:rPr>
              <w:t>Durée</w:t>
            </w:r>
          </w:p>
        </w:tc>
        <w:tc>
          <w:tcPr>
            <w:tcW w:w="6108" w:type="dxa"/>
          </w:tcPr>
          <w:p w14:paraId="76C5C2D2" w14:textId="44E59FB9" w:rsidR="006D6CC6" w:rsidRPr="004A6106" w:rsidRDefault="000E327A" w:rsidP="00131794">
            <w:pPr>
              <w:pStyle w:val="ItemDescription"/>
              <w:spacing w:before="120"/>
              <w:rPr>
                <w:b/>
                <w:lang w:val="fr-CA"/>
              </w:rPr>
            </w:pPr>
            <w:r w:rsidRPr="004A6106">
              <w:rPr>
                <w:b/>
                <w:lang w:val="fr-CA"/>
              </w:rPr>
              <w:t>Sujet</w:t>
            </w:r>
          </w:p>
        </w:tc>
      </w:tr>
      <w:tr w:rsidR="006F4A12" w:rsidRPr="004A6106" w14:paraId="3C02166F" w14:textId="77777777" w:rsidTr="00131794">
        <w:trPr>
          <w:trHeight w:val="715"/>
          <w:jc w:val="center"/>
        </w:trPr>
        <w:tc>
          <w:tcPr>
            <w:tcW w:w="549" w:type="dxa"/>
          </w:tcPr>
          <w:p w14:paraId="0FB40A45" w14:textId="77777777" w:rsidR="006D6CC6" w:rsidRPr="004A6106" w:rsidRDefault="006D6CC6" w:rsidP="00131794">
            <w:pPr>
              <w:spacing w:before="120"/>
              <w:rPr>
                <w:lang w:val="fr-CA"/>
              </w:rPr>
            </w:pPr>
          </w:p>
        </w:tc>
        <w:tc>
          <w:tcPr>
            <w:tcW w:w="2338" w:type="dxa"/>
          </w:tcPr>
          <w:p w14:paraId="08FAB982" w14:textId="00D7FC16" w:rsidR="006D6CC6" w:rsidRPr="004A6106" w:rsidRDefault="007A5BD9" w:rsidP="00131794">
            <w:pPr>
              <w:pStyle w:val="MeetingTimes"/>
              <w:spacing w:after="120"/>
              <w:rPr>
                <w:lang w:val="fr-CA"/>
              </w:rPr>
            </w:pPr>
            <w:r w:rsidRPr="004A6106">
              <w:rPr>
                <w:lang w:val="fr-CA"/>
              </w:rPr>
              <w:t>23 mars 2023</w:t>
            </w:r>
          </w:p>
          <w:p w14:paraId="15AB6BCC" w14:textId="77777777" w:rsidR="006D6CC6" w:rsidRPr="004A6106" w:rsidRDefault="006D6CC6" w:rsidP="00131794">
            <w:pPr>
              <w:pStyle w:val="MeetingTimes"/>
              <w:spacing w:after="120"/>
              <w:rPr>
                <w:lang w:val="fr-CA"/>
              </w:rPr>
            </w:pPr>
          </w:p>
          <w:p w14:paraId="6C533418" w14:textId="06360976" w:rsidR="006D6CC6" w:rsidRPr="004A6106" w:rsidRDefault="00CC46AF" w:rsidP="00131794">
            <w:pPr>
              <w:pStyle w:val="MeetingTimes"/>
              <w:spacing w:after="120"/>
              <w:rPr>
                <w:lang w:val="fr-CA"/>
              </w:rPr>
            </w:pPr>
            <w:r w:rsidRPr="004A6106">
              <w:rPr>
                <w:lang w:val="fr-CA"/>
              </w:rPr>
              <w:t>9</w:t>
            </w:r>
            <w:r w:rsidR="006670B8" w:rsidRPr="004A6106">
              <w:rPr>
                <w:lang w:val="fr-CA"/>
              </w:rPr>
              <w:t> h</w:t>
            </w:r>
            <w:r w:rsidRPr="004A6106">
              <w:rPr>
                <w:lang w:val="fr-CA"/>
              </w:rPr>
              <w:t xml:space="preserve"> </w:t>
            </w:r>
            <w:r w:rsidR="006670B8" w:rsidRPr="004A6106">
              <w:rPr>
                <w:lang w:val="fr-CA"/>
              </w:rPr>
              <w:t>à</w:t>
            </w:r>
            <w:r w:rsidRPr="004A6106">
              <w:rPr>
                <w:lang w:val="fr-CA"/>
              </w:rPr>
              <w:t xml:space="preserve"> 9</w:t>
            </w:r>
            <w:r w:rsidR="006670B8" w:rsidRPr="004A6106">
              <w:rPr>
                <w:lang w:val="fr-CA"/>
              </w:rPr>
              <w:t> h </w:t>
            </w:r>
            <w:r w:rsidRPr="004A6106">
              <w:rPr>
                <w:lang w:val="fr-CA"/>
              </w:rPr>
              <w:t>30</w:t>
            </w:r>
          </w:p>
        </w:tc>
        <w:tc>
          <w:tcPr>
            <w:tcW w:w="6108" w:type="dxa"/>
          </w:tcPr>
          <w:p w14:paraId="29F8A417" w14:textId="77777777" w:rsidR="006D6CC6" w:rsidRPr="004A6106" w:rsidRDefault="006D6CC6" w:rsidP="00131794">
            <w:pPr>
              <w:pStyle w:val="ItemDescription"/>
              <w:spacing w:before="120"/>
              <w:rPr>
                <w:lang w:val="fr-CA"/>
              </w:rPr>
            </w:pPr>
          </w:p>
          <w:p w14:paraId="42BBDC60" w14:textId="13ABF0E9" w:rsidR="006D6CC6" w:rsidRPr="004A6106" w:rsidRDefault="00C2230C" w:rsidP="00131794">
            <w:pPr>
              <w:pStyle w:val="ItemDescription"/>
              <w:spacing w:before="120"/>
              <w:rPr>
                <w:lang w:val="fr-CA"/>
              </w:rPr>
            </w:pPr>
            <w:r w:rsidRPr="004A6106">
              <w:rPr>
                <w:lang w:val="fr-CA"/>
              </w:rPr>
              <w:t xml:space="preserve">Présentations  </w:t>
            </w:r>
          </w:p>
        </w:tc>
      </w:tr>
      <w:tr w:rsidR="006F4A12" w:rsidRPr="00711938" w14:paraId="1DF6FA09" w14:textId="77777777" w:rsidTr="00131794">
        <w:trPr>
          <w:trHeight w:val="835"/>
          <w:jc w:val="center"/>
        </w:trPr>
        <w:tc>
          <w:tcPr>
            <w:tcW w:w="549" w:type="dxa"/>
          </w:tcPr>
          <w:p w14:paraId="372365B5" w14:textId="77777777" w:rsidR="006D6CC6" w:rsidRPr="004A6106" w:rsidRDefault="006D6CC6" w:rsidP="00131794">
            <w:pPr>
              <w:rPr>
                <w:lang w:val="fr-CA"/>
              </w:rPr>
            </w:pPr>
          </w:p>
        </w:tc>
        <w:tc>
          <w:tcPr>
            <w:tcW w:w="2338" w:type="dxa"/>
          </w:tcPr>
          <w:p w14:paraId="6401B23C" w14:textId="3660C36B" w:rsidR="006D6CC6" w:rsidRPr="004A6106" w:rsidRDefault="00CC46AF" w:rsidP="00131794">
            <w:pPr>
              <w:pStyle w:val="MeetingTimes"/>
              <w:spacing w:before="0" w:after="120"/>
              <w:rPr>
                <w:lang w:val="fr-CA"/>
              </w:rPr>
            </w:pPr>
            <w:r w:rsidRPr="004A6106">
              <w:rPr>
                <w:lang w:val="fr-CA"/>
              </w:rPr>
              <w:t>9</w:t>
            </w:r>
            <w:r w:rsidR="006670B8" w:rsidRPr="004A6106">
              <w:rPr>
                <w:lang w:val="fr-CA"/>
              </w:rPr>
              <w:t> h </w:t>
            </w:r>
            <w:r w:rsidRPr="004A6106">
              <w:rPr>
                <w:lang w:val="fr-CA"/>
              </w:rPr>
              <w:t xml:space="preserve">30 </w:t>
            </w:r>
            <w:r w:rsidR="006670B8" w:rsidRPr="004A6106">
              <w:rPr>
                <w:lang w:val="fr-CA"/>
              </w:rPr>
              <w:t>à</w:t>
            </w:r>
            <w:r w:rsidRPr="004A6106">
              <w:rPr>
                <w:lang w:val="fr-CA"/>
              </w:rPr>
              <w:t xml:space="preserve"> 10</w:t>
            </w:r>
            <w:r w:rsidR="006670B8" w:rsidRPr="004A6106">
              <w:rPr>
                <w:lang w:val="fr-CA"/>
              </w:rPr>
              <w:t> h</w:t>
            </w:r>
          </w:p>
        </w:tc>
        <w:tc>
          <w:tcPr>
            <w:tcW w:w="6108" w:type="dxa"/>
          </w:tcPr>
          <w:p w14:paraId="301F8DB3" w14:textId="5851EB73" w:rsidR="006D6CC6" w:rsidRPr="004A6106" w:rsidRDefault="0085407B" w:rsidP="00131794">
            <w:pPr>
              <w:pStyle w:val="ItemDescription"/>
              <w:spacing w:before="0"/>
              <w:rPr>
                <w:lang w:val="fr-CA"/>
              </w:rPr>
            </w:pPr>
            <w:r w:rsidRPr="004A6106">
              <w:rPr>
                <w:lang w:val="fr-CA"/>
              </w:rPr>
              <w:t xml:space="preserve">Zones vitales </w:t>
            </w:r>
            <w:r w:rsidRPr="003C01AA">
              <w:rPr>
                <w:sz w:val="20"/>
                <w:szCs w:val="16"/>
                <w:lang w:val="fr-CA"/>
              </w:rPr>
              <w:t xml:space="preserve">(thèmes 1, 5, 6, 8, thème </w:t>
            </w:r>
            <w:r w:rsidR="00D962DF" w:rsidRPr="003C01AA">
              <w:rPr>
                <w:sz w:val="20"/>
                <w:szCs w:val="16"/>
                <w:lang w:val="fr-CA"/>
              </w:rPr>
              <w:t>lié à</w:t>
            </w:r>
            <w:r w:rsidRPr="003C01AA">
              <w:rPr>
                <w:sz w:val="20"/>
                <w:szCs w:val="16"/>
                <w:lang w:val="fr-CA"/>
              </w:rPr>
              <w:t xml:space="preserve"> l’industrie 3)</w:t>
            </w:r>
          </w:p>
          <w:p w14:paraId="458BE711" w14:textId="53A104D5" w:rsidR="006D6CC6" w:rsidRPr="004A6106" w:rsidRDefault="007C50EF" w:rsidP="00131794">
            <w:pPr>
              <w:pStyle w:val="ItemDescription"/>
              <w:numPr>
                <w:ilvl w:val="0"/>
                <w:numId w:val="22"/>
              </w:numPr>
              <w:spacing w:before="0"/>
              <w:rPr>
                <w:sz w:val="20"/>
                <w:lang w:val="fr-CA"/>
              </w:rPr>
            </w:pPr>
            <w:r w:rsidRPr="004A6106">
              <w:rPr>
                <w:lang w:val="fr-CA"/>
              </w:rPr>
              <w:t xml:space="preserve">Identification des zones vitales </w:t>
            </w:r>
            <w:r w:rsidRPr="003C01AA">
              <w:rPr>
                <w:sz w:val="20"/>
                <w:szCs w:val="16"/>
                <w:lang w:val="fr-CA"/>
              </w:rPr>
              <w:t>(thème 5)</w:t>
            </w:r>
          </w:p>
          <w:p w14:paraId="232C4541" w14:textId="3A2D697C" w:rsidR="006D6CC6" w:rsidRPr="004A6106" w:rsidRDefault="009E16E3" w:rsidP="00131794">
            <w:pPr>
              <w:pStyle w:val="ItemDescription"/>
              <w:numPr>
                <w:ilvl w:val="0"/>
                <w:numId w:val="22"/>
              </w:numPr>
              <w:spacing w:before="0"/>
              <w:rPr>
                <w:lang w:val="fr-CA"/>
              </w:rPr>
            </w:pPr>
            <w:r w:rsidRPr="004A6106">
              <w:rPr>
                <w:lang w:val="fr-CA"/>
              </w:rPr>
              <w:t>Mesures de sécurité nucléaire dans l</w:t>
            </w:r>
            <w:r w:rsidR="00D46B59" w:rsidRPr="004A6106">
              <w:rPr>
                <w:lang w:val="fr-CA"/>
              </w:rPr>
              <w:t>a</w:t>
            </w:r>
            <w:r w:rsidRPr="004A6106">
              <w:rPr>
                <w:lang w:val="fr-CA"/>
              </w:rPr>
              <w:t xml:space="preserve"> zone vitale </w:t>
            </w:r>
            <w:r w:rsidRPr="003C01AA">
              <w:rPr>
                <w:sz w:val="20"/>
                <w:szCs w:val="16"/>
                <w:lang w:val="fr-CA"/>
              </w:rPr>
              <w:t>(thème 6)</w:t>
            </w:r>
          </w:p>
          <w:p w14:paraId="74698C6D" w14:textId="0EE444E1" w:rsidR="006D6CC6" w:rsidRPr="004A6106" w:rsidRDefault="00C726D3" w:rsidP="00131794">
            <w:pPr>
              <w:pStyle w:val="ItemDescription"/>
              <w:numPr>
                <w:ilvl w:val="0"/>
                <w:numId w:val="22"/>
              </w:numPr>
              <w:spacing w:before="0"/>
              <w:rPr>
                <w:lang w:val="fr-CA"/>
              </w:rPr>
            </w:pPr>
            <w:r w:rsidRPr="004A6106">
              <w:rPr>
                <w:lang w:val="fr-CA"/>
              </w:rPr>
              <w:t>Autorisations pour l</w:t>
            </w:r>
            <w:r w:rsidR="00D46B59" w:rsidRPr="004A6106">
              <w:rPr>
                <w:lang w:val="fr-CA"/>
              </w:rPr>
              <w:t xml:space="preserve">a </w:t>
            </w:r>
            <w:r w:rsidRPr="004A6106">
              <w:rPr>
                <w:lang w:val="fr-CA"/>
              </w:rPr>
              <w:t xml:space="preserve">zone vitale </w:t>
            </w:r>
            <w:r w:rsidRPr="003C01AA">
              <w:rPr>
                <w:sz w:val="20"/>
                <w:szCs w:val="16"/>
                <w:lang w:val="fr-CA"/>
              </w:rPr>
              <w:t>(thème 8)</w:t>
            </w:r>
          </w:p>
          <w:p w14:paraId="103D2C2F" w14:textId="07349243" w:rsidR="006D6CC6" w:rsidRPr="004A6106" w:rsidRDefault="00556C3B" w:rsidP="00131794">
            <w:pPr>
              <w:pStyle w:val="ItemDescription"/>
              <w:numPr>
                <w:ilvl w:val="0"/>
                <w:numId w:val="22"/>
              </w:numPr>
              <w:spacing w:before="0"/>
              <w:rPr>
                <w:lang w:val="fr-CA"/>
              </w:rPr>
            </w:pPr>
            <w:r w:rsidRPr="004A6106">
              <w:rPr>
                <w:lang w:val="fr-CA"/>
              </w:rPr>
              <w:t xml:space="preserve">Mesures de sécurité nucléaire dans la zone intérieure </w:t>
            </w:r>
            <w:r w:rsidRPr="003C01AA">
              <w:rPr>
                <w:sz w:val="20"/>
                <w:szCs w:val="16"/>
                <w:lang w:val="fr-CA"/>
              </w:rPr>
              <w:t xml:space="preserve">(thème </w:t>
            </w:r>
            <w:r w:rsidR="00D962DF" w:rsidRPr="003C01AA">
              <w:rPr>
                <w:sz w:val="20"/>
                <w:szCs w:val="16"/>
                <w:lang w:val="fr-CA"/>
              </w:rPr>
              <w:t>lié à</w:t>
            </w:r>
            <w:r w:rsidRPr="003C01AA">
              <w:rPr>
                <w:sz w:val="20"/>
                <w:szCs w:val="16"/>
                <w:lang w:val="fr-CA"/>
              </w:rPr>
              <w:t xml:space="preserve"> l’industrie 3)</w:t>
            </w:r>
          </w:p>
          <w:p w14:paraId="15D4C0D9" w14:textId="42FAB0D7" w:rsidR="006D6CC6" w:rsidRPr="004A6106" w:rsidRDefault="00117E18" w:rsidP="00131794">
            <w:pPr>
              <w:pStyle w:val="ItemDescription"/>
              <w:numPr>
                <w:ilvl w:val="0"/>
                <w:numId w:val="22"/>
              </w:numPr>
              <w:spacing w:before="0"/>
              <w:rPr>
                <w:lang w:val="fr-CA"/>
              </w:rPr>
            </w:pPr>
            <w:r w:rsidRPr="004A6106">
              <w:rPr>
                <w:lang w:val="fr-CA"/>
              </w:rPr>
              <w:t xml:space="preserve">Entreposage et sécurité des substances nucléaires dans les SSE </w:t>
            </w:r>
            <w:r w:rsidRPr="003C01AA">
              <w:rPr>
                <w:sz w:val="20"/>
                <w:szCs w:val="16"/>
                <w:lang w:val="fr-CA"/>
              </w:rPr>
              <w:t>(thème 1)</w:t>
            </w:r>
          </w:p>
        </w:tc>
      </w:tr>
      <w:tr w:rsidR="006F4A12" w:rsidRPr="004A6106" w14:paraId="26B029AF" w14:textId="77777777" w:rsidTr="00131794">
        <w:trPr>
          <w:trHeight w:val="784"/>
          <w:jc w:val="center"/>
        </w:trPr>
        <w:tc>
          <w:tcPr>
            <w:tcW w:w="549" w:type="dxa"/>
          </w:tcPr>
          <w:p w14:paraId="26E2DD66" w14:textId="77777777" w:rsidR="006D6CC6" w:rsidRPr="004A6106" w:rsidRDefault="006D6CC6" w:rsidP="00131794">
            <w:pPr>
              <w:rPr>
                <w:lang w:val="fr-CA"/>
              </w:rPr>
            </w:pPr>
          </w:p>
        </w:tc>
        <w:tc>
          <w:tcPr>
            <w:tcW w:w="2338" w:type="dxa"/>
          </w:tcPr>
          <w:p w14:paraId="68545962" w14:textId="78BFCA64" w:rsidR="006D6CC6" w:rsidRPr="004A6106" w:rsidRDefault="00CC46AF" w:rsidP="00131794">
            <w:pPr>
              <w:pStyle w:val="MeetingTimes"/>
              <w:spacing w:before="0" w:after="120"/>
              <w:rPr>
                <w:lang w:val="fr-CA"/>
              </w:rPr>
            </w:pPr>
            <w:r w:rsidRPr="004A6106">
              <w:rPr>
                <w:lang w:val="fr-CA"/>
              </w:rPr>
              <w:t>10</w:t>
            </w:r>
            <w:r w:rsidR="006670B8" w:rsidRPr="004A6106">
              <w:rPr>
                <w:lang w:val="fr-CA"/>
              </w:rPr>
              <w:t> h</w:t>
            </w:r>
            <w:r w:rsidRPr="004A6106">
              <w:rPr>
                <w:lang w:val="fr-CA"/>
              </w:rPr>
              <w:t xml:space="preserve"> </w:t>
            </w:r>
            <w:r w:rsidR="006670B8" w:rsidRPr="004A6106">
              <w:rPr>
                <w:lang w:val="fr-CA"/>
              </w:rPr>
              <w:t>à</w:t>
            </w:r>
            <w:r w:rsidRPr="004A6106">
              <w:rPr>
                <w:lang w:val="fr-CA"/>
              </w:rPr>
              <w:t xml:space="preserve"> 10</w:t>
            </w:r>
            <w:r w:rsidR="006670B8" w:rsidRPr="004A6106">
              <w:rPr>
                <w:lang w:val="fr-CA"/>
              </w:rPr>
              <w:t> h </w:t>
            </w:r>
            <w:r w:rsidRPr="004A6106">
              <w:rPr>
                <w:lang w:val="fr-CA"/>
              </w:rPr>
              <w:t>15</w:t>
            </w:r>
          </w:p>
        </w:tc>
        <w:tc>
          <w:tcPr>
            <w:tcW w:w="6108" w:type="dxa"/>
          </w:tcPr>
          <w:p w14:paraId="06F601CF" w14:textId="445FB26A" w:rsidR="006D6CC6" w:rsidRPr="004A6106" w:rsidRDefault="002D7329" w:rsidP="00131794">
            <w:pPr>
              <w:pStyle w:val="ItemDescription"/>
              <w:spacing w:before="0"/>
              <w:rPr>
                <w:lang w:val="fr-CA"/>
              </w:rPr>
            </w:pPr>
            <w:r w:rsidRPr="004A6106">
              <w:rPr>
                <w:lang w:val="fr-CA"/>
              </w:rPr>
              <w:t xml:space="preserve">Pause-santé </w:t>
            </w:r>
          </w:p>
        </w:tc>
      </w:tr>
      <w:tr w:rsidR="006F4A12" w:rsidRPr="004A6106" w14:paraId="3CAF3B75" w14:textId="77777777" w:rsidTr="00131794">
        <w:trPr>
          <w:trHeight w:val="851"/>
          <w:jc w:val="center"/>
        </w:trPr>
        <w:tc>
          <w:tcPr>
            <w:tcW w:w="549" w:type="dxa"/>
          </w:tcPr>
          <w:p w14:paraId="4F3BDCFD" w14:textId="77777777" w:rsidR="006D6CC6" w:rsidRPr="004A6106" w:rsidRDefault="006D6CC6" w:rsidP="00131794">
            <w:pPr>
              <w:rPr>
                <w:lang w:val="fr-CA"/>
              </w:rPr>
            </w:pPr>
          </w:p>
        </w:tc>
        <w:tc>
          <w:tcPr>
            <w:tcW w:w="2338" w:type="dxa"/>
          </w:tcPr>
          <w:p w14:paraId="4699BB83" w14:textId="7A865FE9" w:rsidR="006D6CC6" w:rsidRPr="004A6106" w:rsidRDefault="00CC46AF" w:rsidP="00131794">
            <w:pPr>
              <w:pStyle w:val="MeetingTimes"/>
              <w:spacing w:before="0" w:after="120"/>
              <w:rPr>
                <w:lang w:val="fr-CA"/>
              </w:rPr>
            </w:pPr>
            <w:r w:rsidRPr="004A6106">
              <w:rPr>
                <w:lang w:val="fr-CA"/>
              </w:rPr>
              <w:t>10</w:t>
            </w:r>
            <w:r w:rsidR="006670B8" w:rsidRPr="004A6106">
              <w:rPr>
                <w:lang w:val="fr-CA"/>
              </w:rPr>
              <w:t> h </w:t>
            </w:r>
            <w:r w:rsidRPr="004A6106">
              <w:rPr>
                <w:lang w:val="fr-CA"/>
              </w:rPr>
              <w:t xml:space="preserve">15 </w:t>
            </w:r>
            <w:r w:rsidR="006670B8" w:rsidRPr="004A6106">
              <w:rPr>
                <w:lang w:val="fr-CA"/>
              </w:rPr>
              <w:t>à</w:t>
            </w:r>
            <w:r w:rsidRPr="004A6106">
              <w:rPr>
                <w:lang w:val="fr-CA"/>
              </w:rPr>
              <w:t xml:space="preserve"> 12</w:t>
            </w:r>
            <w:r w:rsidR="006670B8" w:rsidRPr="004A6106">
              <w:rPr>
                <w:lang w:val="fr-CA"/>
              </w:rPr>
              <w:t> h</w:t>
            </w:r>
          </w:p>
        </w:tc>
        <w:tc>
          <w:tcPr>
            <w:tcW w:w="6108" w:type="dxa"/>
          </w:tcPr>
          <w:p w14:paraId="12BB761F" w14:textId="69F146A1" w:rsidR="006D6CC6" w:rsidRPr="004A6106" w:rsidRDefault="00783986" w:rsidP="00131794">
            <w:pPr>
              <w:pStyle w:val="ItemDescription"/>
              <w:spacing w:before="0"/>
              <w:rPr>
                <w:lang w:val="fr-CA"/>
              </w:rPr>
            </w:pPr>
            <w:r w:rsidRPr="004A6106">
              <w:rPr>
                <w:lang w:val="fr-CA"/>
              </w:rPr>
              <w:t xml:space="preserve">Zones vitales (suite) </w:t>
            </w:r>
          </w:p>
        </w:tc>
      </w:tr>
      <w:tr w:rsidR="006F4A12" w:rsidRPr="004A6106" w14:paraId="4F27B2BB" w14:textId="77777777" w:rsidTr="00131794">
        <w:trPr>
          <w:trHeight w:val="851"/>
          <w:jc w:val="center"/>
        </w:trPr>
        <w:tc>
          <w:tcPr>
            <w:tcW w:w="549" w:type="dxa"/>
          </w:tcPr>
          <w:p w14:paraId="2988DA30" w14:textId="77777777" w:rsidR="006D6CC6" w:rsidRPr="004A6106" w:rsidRDefault="006D6CC6" w:rsidP="00131794">
            <w:pPr>
              <w:rPr>
                <w:lang w:val="fr-CA"/>
              </w:rPr>
            </w:pPr>
          </w:p>
        </w:tc>
        <w:tc>
          <w:tcPr>
            <w:tcW w:w="2338" w:type="dxa"/>
          </w:tcPr>
          <w:p w14:paraId="02271F62" w14:textId="600B6D48" w:rsidR="006D6CC6" w:rsidRPr="004A6106" w:rsidRDefault="00CC46AF" w:rsidP="00131794">
            <w:pPr>
              <w:pStyle w:val="MeetingTimes"/>
              <w:spacing w:before="0" w:after="120"/>
              <w:rPr>
                <w:lang w:val="fr-CA"/>
              </w:rPr>
            </w:pPr>
            <w:r w:rsidRPr="004A6106">
              <w:rPr>
                <w:lang w:val="fr-CA"/>
              </w:rPr>
              <w:t>12</w:t>
            </w:r>
            <w:r w:rsidR="006670B8" w:rsidRPr="004A6106">
              <w:rPr>
                <w:lang w:val="fr-CA"/>
              </w:rPr>
              <w:t> h</w:t>
            </w:r>
            <w:r w:rsidRPr="004A6106">
              <w:rPr>
                <w:lang w:val="fr-CA"/>
              </w:rPr>
              <w:t xml:space="preserve"> </w:t>
            </w:r>
            <w:r w:rsidR="006670B8" w:rsidRPr="004A6106">
              <w:rPr>
                <w:lang w:val="fr-CA"/>
              </w:rPr>
              <w:t>à</w:t>
            </w:r>
            <w:r w:rsidRPr="004A6106">
              <w:rPr>
                <w:lang w:val="fr-CA"/>
              </w:rPr>
              <w:t xml:space="preserve"> 13</w:t>
            </w:r>
            <w:r w:rsidR="006670B8" w:rsidRPr="004A6106">
              <w:rPr>
                <w:lang w:val="fr-CA"/>
              </w:rPr>
              <w:t> h</w:t>
            </w:r>
          </w:p>
          <w:p w14:paraId="31EBB211" w14:textId="77777777" w:rsidR="006D6CC6" w:rsidRPr="004A6106" w:rsidRDefault="006D6CC6" w:rsidP="00131794">
            <w:pPr>
              <w:pStyle w:val="MeetingTimes"/>
              <w:spacing w:before="0" w:after="120"/>
              <w:rPr>
                <w:lang w:val="fr-CA"/>
              </w:rPr>
            </w:pPr>
          </w:p>
        </w:tc>
        <w:tc>
          <w:tcPr>
            <w:tcW w:w="6108" w:type="dxa"/>
          </w:tcPr>
          <w:p w14:paraId="3A64FC16" w14:textId="1F34DFB0" w:rsidR="006D6CC6" w:rsidRPr="004A6106" w:rsidRDefault="000504DA" w:rsidP="00131794">
            <w:pPr>
              <w:pStyle w:val="ItemDescription"/>
              <w:spacing w:before="0"/>
              <w:rPr>
                <w:lang w:val="fr-CA"/>
              </w:rPr>
            </w:pPr>
            <w:r w:rsidRPr="004A6106">
              <w:rPr>
                <w:lang w:val="fr-CA"/>
              </w:rPr>
              <w:t xml:space="preserve">Dîner </w:t>
            </w:r>
          </w:p>
        </w:tc>
      </w:tr>
      <w:tr w:rsidR="006F4A12" w:rsidRPr="00711938" w14:paraId="0BD277E7" w14:textId="77777777" w:rsidTr="00131794">
        <w:trPr>
          <w:trHeight w:val="851"/>
          <w:jc w:val="center"/>
        </w:trPr>
        <w:tc>
          <w:tcPr>
            <w:tcW w:w="549" w:type="dxa"/>
          </w:tcPr>
          <w:p w14:paraId="41008880" w14:textId="77777777" w:rsidR="006D6CC6" w:rsidRPr="004A6106" w:rsidRDefault="006D6CC6" w:rsidP="00131794">
            <w:pPr>
              <w:rPr>
                <w:lang w:val="fr-CA"/>
              </w:rPr>
            </w:pPr>
          </w:p>
        </w:tc>
        <w:tc>
          <w:tcPr>
            <w:tcW w:w="2338" w:type="dxa"/>
          </w:tcPr>
          <w:p w14:paraId="4C8164CD" w14:textId="6E93D652" w:rsidR="006D6CC6" w:rsidRPr="004A6106" w:rsidRDefault="00CC46AF" w:rsidP="00131794">
            <w:pPr>
              <w:pStyle w:val="MeetingTimes"/>
              <w:spacing w:before="0" w:after="120"/>
              <w:rPr>
                <w:lang w:val="fr-CA"/>
              </w:rPr>
            </w:pPr>
            <w:r w:rsidRPr="004A6106">
              <w:rPr>
                <w:lang w:val="fr-CA"/>
              </w:rPr>
              <w:t>13</w:t>
            </w:r>
            <w:r w:rsidR="006670B8" w:rsidRPr="004A6106">
              <w:rPr>
                <w:lang w:val="fr-CA"/>
              </w:rPr>
              <w:t> h</w:t>
            </w:r>
            <w:r w:rsidRPr="004A6106">
              <w:rPr>
                <w:lang w:val="fr-CA"/>
              </w:rPr>
              <w:t xml:space="preserve"> </w:t>
            </w:r>
            <w:r w:rsidR="006670B8" w:rsidRPr="004A6106">
              <w:rPr>
                <w:lang w:val="fr-CA"/>
              </w:rPr>
              <w:t>à</w:t>
            </w:r>
            <w:r w:rsidRPr="004A6106">
              <w:rPr>
                <w:lang w:val="fr-CA"/>
              </w:rPr>
              <w:t xml:space="preserve"> 14</w:t>
            </w:r>
            <w:r w:rsidR="006670B8" w:rsidRPr="004A6106">
              <w:rPr>
                <w:lang w:val="fr-CA"/>
              </w:rPr>
              <w:t> h</w:t>
            </w:r>
          </w:p>
          <w:p w14:paraId="1B04DF32" w14:textId="77777777" w:rsidR="006D6CC6" w:rsidRPr="004A6106" w:rsidRDefault="006D6CC6" w:rsidP="00131794">
            <w:pPr>
              <w:pStyle w:val="MeetingTimes"/>
              <w:spacing w:before="0" w:after="120"/>
              <w:rPr>
                <w:lang w:val="fr-CA"/>
              </w:rPr>
            </w:pPr>
          </w:p>
        </w:tc>
        <w:tc>
          <w:tcPr>
            <w:tcW w:w="6108" w:type="dxa"/>
          </w:tcPr>
          <w:p w14:paraId="24452613" w14:textId="428C6614" w:rsidR="006D6CC6" w:rsidRPr="004A6106" w:rsidRDefault="0012508F" w:rsidP="00131794">
            <w:pPr>
              <w:pStyle w:val="ItemDescription"/>
              <w:spacing w:before="0"/>
              <w:rPr>
                <w:lang w:val="fr-CA"/>
              </w:rPr>
            </w:pPr>
            <w:r w:rsidRPr="004A6106">
              <w:rPr>
                <w:lang w:val="fr-CA"/>
              </w:rPr>
              <w:t xml:space="preserve">Barrières physiques pour la zone protégée </w:t>
            </w:r>
            <w:r w:rsidRPr="00F73431">
              <w:rPr>
                <w:sz w:val="20"/>
                <w:szCs w:val="16"/>
                <w:lang w:val="fr-CA"/>
              </w:rPr>
              <w:t xml:space="preserve">(thème 4) </w:t>
            </w:r>
            <w:r w:rsidRPr="004A6106">
              <w:rPr>
                <w:lang w:val="fr-CA"/>
              </w:rPr>
              <w:t xml:space="preserve">et sas pour véhicules dans les SSE </w:t>
            </w:r>
            <w:r w:rsidRPr="00F73431">
              <w:rPr>
                <w:sz w:val="20"/>
                <w:szCs w:val="16"/>
                <w:lang w:val="fr-CA"/>
              </w:rPr>
              <w:t>(thème 9)</w:t>
            </w:r>
          </w:p>
        </w:tc>
      </w:tr>
      <w:tr w:rsidR="006F4A12" w:rsidRPr="004A6106" w14:paraId="47AE3C5B" w14:textId="77777777" w:rsidTr="00131794">
        <w:trPr>
          <w:trHeight w:val="851"/>
          <w:jc w:val="center"/>
        </w:trPr>
        <w:tc>
          <w:tcPr>
            <w:tcW w:w="549" w:type="dxa"/>
          </w:tcPr>
          <w:p w14:paraId="244E99F5" w14:textId="77777777" w:rsidR="006D6CC6" w:rsidRPr="004A6106" w:rsidRDefault="006D6CC6" w:rsidP="00131794">
            <w:pPr>
              <w:rPr>
                <w:lang w:val="fr-CA"/>
              </w:rPr>
            </w:pPr>
          </w:p>
        </w:tc>
        <w:tc>
          <w:tcPr>
            <w:tcW w:w="2338" w:type="dxa"/>
          </w:tcPr>
          <w:p w14:paraId="767518F4" w14:textId="60EBD855" w:rsidR="006D6CC6" w:rsidRPr="004A6106" w:rsidRDefault="00CC46AF" w:rsidP="00131794">
            <w:pPr>
              <w:pStyle w:val="MeetingTimes"/>
              <w:spacing w:before="0" w:after="120"/>
              <w:rPr>
                <w:lang w:val="fr-CA"/>
              </w:rPr>
            </w:pPr>
            <w:r w:rsidRPr="004A6106">
              <w:rPr>
                <w:lang w:val="fr-CA"/>
              </w:rPr>
              <w:t>14</w:t>
            </w:r>
            <w:r w:rsidR="006670B8" w:rsidRPr="004A6106">
              <w:rPr>
                <w:lang w:val="fr-CA"/>
              </w:rPr>
              <w:t> h</w:t>
            </w:r>
            <w:r w:rsidRPr="004A6106">
              <w:rPr>
                <w:lang w:val="fr-CA"/>
              </w:rPr>
              <w:t xml:space="preserve"> </w:t>
            </w:r>
            <w:r w:rsidR="006670B8" w:rsidRPr="004A6106">
              <w:rPr>
                <w:lang w:val="fr-CA"/>
              </w:rPr>
              <w:t>à</w:t>
            </w:r>
            <w:r w:rsidRPr="004A6106">
              <w:rPr>
                <w:lang w:val="fr-CA"/>
              </w:rPr>
              <w:t xml:space="preserve"> 14</w:t>
            </w:r>
            <w:r w:rsidR="006670B8" w:rsidRPr="004A6106">
              <w:rPr>
                <w:lang w:val="fr-CA"/>
              </w:rPr>
              <w:t> h </w:t>
            </w:r>
            <w:r w:rsidRPr="004A6106">
              <w:rPr>
                <w:lang w:val="fr-CA"/>
              </w:rPr>
              <w:t>10</w:t>
            </w:r>
          </w:p>
          <w:p w14:paraId="054B3763" w14:textId="77777777" w:rsidR="006D6CC6" w:rsidRPr="004A6106" w:rsidRDefault="006D6CC6" w:rsidP="00131794">
            <w:pPr>
              <w:pStyle w:val="MeetingTimes"/>
              <w:spacing w:before="0" w:after="120"/>
              <w:rPr>
                <w:lang w:val="fr-CA"/>
              </w:rPr>
            </w:pPr>
          </w:p>
        </w:tc>
        <w:tc>
          <w:tcPr>
            <w:tcW w:w="6108" w:type="dxa"/>
          </w:tcPr>
          <w:p w14:paraId="45CF95AF" w14:textId="516248B7" w:rsidR="006D6CC6" w:rsidRPr="004A6106" w:rsidRDefault="00D41735" w:rsidP="00131794">
            <w:pPr>
              <w:pStyle w:val="ItemDescription"/>
              <w:spacing w:before="0"/>
              <w:rPr>
                <w:lang w:val="fr-CA"/>
              </w:rPr>
            </w:pPr>
            <w:r w:rsidRPr="004A6106">
              <w:rPr>
                <w:lang w:val="fr-CA"/>
              </w:rPr>
              <w:t xml:space="preserve">Pause-santé </w:t>
            </w:r>
          </w:p>
        </w:tc>
      </w:tr>
      <w:tr w:rsidR="006F4A12" w:rsidRPr="00711938" w14:paraId="1E86D368" w14:textId="77777777" w:rsidTr="00131794">
        <w:trPr>
          <w:trHeight w:val="851"/>
          <w:jc w:val="center"/>
        </w:trPr>
        <w:tc>
          <w:tcPr>
            <w:tcW w:w="549" w:type="dxa"/>
          </w:tcPr>
          <w:p w14:paraId="024E4A7A" w14:textId="77777777" w:rsidR="006D6CC6" w:rsidRPr="004A6106" w:rsidRDefault="006D6CC6" w:rsidP="00131794">
            <w:pPr>
              <w:rPr>
                <w:lang w:val="fr-CA"/>
              </w:rPr>
            </w:pPr>
          </w:p>
        </w:tc>
        <w:tc>
          <w:tcPr>
            <w:tcW w:w="2338" w:type="dxa"/>
          </w:tcPr>
          <w:p w14:paraId="108BCE84" w14:textId="7A85D83B" w:rsidR="006D6CC6" w:rsidRPr="004A6106" w:rsidRDefault="00CC46AF" w:rsidP="00131794">
            <w:pPr>
              <w:pStyle w:val="MeetingTimes"/>
              <w:spacing w:before="0" w:after="120"/>
              <w:rPr>
                <w:lang w:val="fr-CA"/>
              </w:rPr>
            </w:pPr>
            <w:r w:rsidRPr="004A6106">
              <w:rPr>
                <w:lang w:val="fr-CA"/>
              </w:rPr>
              <w:t>14</w:t>
            </w:r>
            <w:r w:rsidR="006670B8" w:rsidRPr="004A6106">
              <w:rPr>
                <w:lang w:val="fr-CA"/>
              </w:rPr>
              <w:t> h </w:t>
            </w:r>
            <w:r w:rsidRPr="004A6106">
              <w:rPr>
                <w:lang w:val="fr-CA"/>
              </w:rPr>
              <w:t xml:space="preserve">10 </w:t>
            </w:r>
            <w:r w:rsidR="006670B8" w:rsidRPr="004A6106">
              <w:rPr>
                <w:lang w:val="fr-CA"/>
              </w:rPr>
              <w:t>à</w:t>
            </w:r>
            <w:r w:rsidRPr="004A6106">
              <w:rPr>
                <w:lang w:val="fr-CA"/>
              </w:rPr>
              <w:t xml:space="preserve"> 14</w:t>
            </w:r>
            <w:r w:rsidR="006670B8" w:rsidRPr="004A6106">
              <w:rPr>
                <w:lang w:val="fr-CA"/>
              </w:rPr>
              <w:t> h </w:t>
            </w:r>
            <w:r w:rsidRPr="004A6106">
              <w:rPr>
                <w:lang w:val="fr-CA"/>
              </w:rPr>
              <w:t>40</w:t>
            </w:r>
          </w:p>
          <w:p w14:paraId="5E7E472A" w14:textId="77777777" w:rsidR="006D6CC6" w:rsidRPr="004A6106" w:rsidRDefault="006D6CC6" w:rsidP="00131794">
            <w:pPr>
              <w:pStyle w:val="MeetingTimes"/>
              <w:spacing w:before="0" w:after="120"/>
              <w:rPr>
                <w:lang w:val="fr-CA"/>
              </w:rPr>
            </w:pPr>
          </w:p>
        </w:tc>
        <w:tc>
          <w:tcPr>
            <w:tcW w:w="6108" w:type="dxa"/>
          </w:tcPr>
          <w:p w14:paraId="2FF67F85" w14:textId="30308B71" w:rsidR="006D6CC6" w:rsidRPr="004A6106" w:rsidRDefault="0089104D" w:rsidP="00131794">
            <w:pPr>
              <w:pStyle w:val="ItemDescription"/>
              <w:spacing w:before="0"/>
              <w:rPr>
                <w:lang w:val="fr-CA"/>
              </w:rPr>
            </w:pPr>
            <w:r w:rsidRPr="004A6106">
              <w:rPr>
                <w:lang w:val="fr-CA"/>
              </w:rPr>
              <w:t xml:space="preserve">Alimentation électrique sans interruption </w:t>
            </w:r>
            <w:r w:rsidRPr="00F73431">
              <w:rPr>
                <w:sz w:val="20"/>
                <w:szCs w:val="16"/>
                <w:lang w:val="fr-CA"/>
              </w:rPr>
              <w:t>(thème 3)</w:t>
            </w:r>
          </w:p>
        </w:tc>
      </w:tr>
      <w:tr w:rsidR="006F4A12" w:rsidRPr="00711938" w14:paraId="692C4DEE" w14:textId="77777777" w:rsidTr="00131794">
        <w:trPr>
          <w:trHeight w:val="851"/>
          <w:jc w:val="center"/>
        </w:trPr>
        <w:tc>
          <w:tcPr>
            <w:tcW w:w="549" w:type="dxa"/>
          </w:tcPr>
          <w:p w14:paraId="3568F833" w14:textId="77777777" w:rsidR="006D6CC6" w:rsidRPr="004A6106" w:rsidRDefault="006D6CC6" w:rsidP="00131794">
            <w:pPr>
              <w:rPr>
                <w:lang w:val="fr-CA"/>
              </w:rPr>
            </w:pPr>
          </w:p>
        </w:tc>
        <w:tc>
          <w:tcPr>
            <w:tcW w:w="2338" w:type="dxa"/>
          </w:tcPr>
          <w:p w14:paraId="170697F1" w14:textId="7389484B" w:rsidR="006D6CC6" w:rsidRPr="004A6106" w:rsidRDefault="00CC46AF" w:rsidP="00131794">
            <w:pPr>
              <w:pStyle w:val="MeetingTimes"/>
              <w:spacing w:before="0" w:after="120"/>
              <w:rPr>
                <w:lang w:val="fr-CA"/>
              </w:rPr>
            </w:pPr>
            <w:r w:rsidRPr="004A6106">
              <w:rPr>
                <w:lang w:val="fr-CA"/>
              </w:rPr>
              <w:t>14</w:t>
            </w:r>
            <w:r w:rsidR="006670B8" w:rsidRPr="004A6106">
              <w:rPr>
                <w:lang w:val="fr-CA"/>
              </w:rPr>
              <w:t> h </w:t>
            </w:r>
            <w:r w:rsidRPr="004A6106">
              <w:rPr>
                <w:lang w:val="fr-CA"/>
              </w:rPr>
              <w:t xml:space="preserve">40 </w:t>
            </w:r>
            <w:r w:rsidR="006670B8" w:rsidRPr="004A6106">
              <w:rPr>
                <w:lang w:val="fr-CA"/>
              </w:rPr>
              <w:t>à</w:t>
            </w:r>
            <w:r w:rsidRPr="004A6106">
              <w:rPr>
                <w:lang w:val="fr-CA"/>
              </w:rPr>
              <w:t xml:space="preserve"> 15</w:t>
            </w:r>
            <w:r w:rsidR="006670B8" w:rsidRPr="004A6106">
              <w:rPr>
                <w:lang w:val="fr-CA"/>
              </w:rPr>
              <w:t> h </w:t>
            </w:r>
            <w:r w:rsidRPr="004A6106">
              <w:rPr>
                <w:lang w:val="fr-CA"/>
              </w:rPr>
              <w:t>40</w:t>
            </w:r>
          </w:p>
          <w:p w14:paraId="72FFC31A" w14:textId="77777777" w:rsidR="006D6CC6" w:rsidRPr="004A6106" w:rsidRDefault="006D6CC6" w:rsidP="00131794">
            <w:pPr>
              <w:pStyle w:val="MeetingTimes"/>
              <w:spacing w:before="0" w:after="120"/>
              <w:rPr>
                <w:lang w:val="fr-CA"/>
              </w:rPr>
            </w:pPr>
          </w:p>
        </w:tc>
        <w:tc>
          <w:tcPr>
            <w:tcW w:w="6108" w:type="dxa"/>
          </w:tcPr>
          <w:p w14:paraId="0B842FD9" w14:textId="0D7DDA68" w:rsidR="006D6CC6" w:rsidRPr="004A6106" w:rsidRDefault="007A11ED" w:rsidP="00131794">
            <w:pPr>
              <w:pStyle w:val="ItemDescription"/>
              <w:spacing w:before="0"/>
              <w:rPr>
                <w:lang w:val="fr-CA"/>
              </w:rPr>
            </w:pPr>
            <w:r w:rsidRPr="004A6106">
              <w:rPr>
                <w:lang w:val="fr-CA"/>
              </w:rPr>
              <w:t xml:space="preserve">Facteurs à considérer pour le poste central d’alarme (PCA) et le poste d’alarme secondaire (PAS) </w:t>
            </w:r>
            <w:r w:rsidRPr="00F73431">
              <w:rPr>
                <w:sz w:val="20"/>
                <w:szCs w:val="16"/>
                <w:lang w:val="fr-CA"/>
              </w:rPr>
              <w:t>(thème 2)</w:t>
            </w:r>
          </w:p>
        </w:tc>
      </w:tr>
      <w:tr w:rsidR="006F4A12" w:rsidRPr="004A6106" w14:paraId="447E4242" w14:textId="77777777" w:rsidTr="00131794">
        <w:trPr>
          <w:trHeight w:val="851"/>
          <w:jc w:val="center"/>
        </w:trPr>
        <w:tc>
          <w:tcPr>
            <w:tcW w:w="549" w:type="dxa"/>
          </w:tcPr>
          <w:p w14:paraId="63B682D8" w14:textId="77777777" w:rsidR="006D6CC6" w:rsidRPr="004A6106" w:rsidRDefault="006D6CC6" w:rsidP="00131794">
            <w:pPr>
              <w:rPr>
                <w:lang w:val="fr-CA"/>
              </w:rPr>
            </w:pPr>
          </w:p>
        </w:tc>
        <w:tc>
          <w:tcPr>
            <w:tcW w:w="2338" w:type="dxa"/>
          </w:tcPr>
          <w:p w14:paraId="6BC67B12" w14:textId="7CED745B" w:rsidR="006D6CC6" w:rsidRPr="004A6106" w:rsidRDefault="00CC46AF" w:rsidP="00131794">
            <w:pPr>
              <w:pStyle w:val="MeetingTimes"/>
              <w:spacing w:before="0" w:after="120"/>
              <w:rPr>
                <w:lang w:val="fr-CA"/>
              </w:rPr>
            </w:pPr>
            <w:r w:rsidRPr="004A6106">
              <w:rPr>
                <w:lang w:val="fr-CA"/>
              </w:rPr>
              <w:t>15</w:t>
            </w:r>
            <w:r w:rsidR="006670B8" w:rsidRPr="004A6106">
              <w:rPr>
                <w:lang w:val="fr-CA"/>
              </w:rPr>
              <w:t> h </w:t>
            </w:r>
            <w:r w:rsidRPr="004A6106">
              <w:rPr>
                <w:lang w:val="fr-CA"/>
              </w:rPr>
              <w:t xml:space="preserve">40 </w:t>
            </w:r>
            <w:r w:rsidR="006670B8" w:rsidRPr="004A6106">
              <w:rPr>
                <w:lang w:val="fr-CA"/>
              </w:rPr>
              <w:t>à</w:t>
            </w:r>
            <w:r w:rsidRPr="004A6106">
              <w:rPr>
                <w:lang w:val="fr-CA"/>
              </w:rPr>
              <w:t xml:space="preserve"> 16</w:t>
            </w:r>
            <w:r w:rsidR="006670B8" w:rsidRPr="004A6106">
              <w:rPr>
                <w:lang w:val="fr-CA"/>
              </w:rPr>
              <w:t> h</w:t>
            </w:r>
          </w:p>
          <w:p w14:paraId="386C633E" w14:textId="77777777" w:rsidR="006D6CC6" w:rsidRPr="004A6106" w:rsidRDefault="006D6CC6" w:rsidP="00131794">
            <w:pPr>
              <w:pStyle w:val="MeetingTimes"/>
              <w:spacing w:before="0" w:after="120"/>
              <w:rPr>
                <w:lang w:val="fr-CA"/>
              </w:rPr>
            </w:pPr>
          </w:p>
        </w:tc>
        <w:tc>
          <w:tcPr>
            <w:tcW w:w="6108" w:type="dxa"/>
          </w:tcPr>
          <w:p w14:paraId="675BB6BC" w14:textId="6670B934" w:rsidR="006D6CC6" w:rsidRPr="004A6106" w:rsidRDefault="006F1409" w:rsidP="00131794">
            <w:pPr>
              <w:pStyle w:val="ItemDescription"/>
              <w:spacing w:before="0"/>
              <w:rPr>
                <w:lang w:val="fr-CA"/>
              </w:rPr>
            </w:pPr>
            <w:r w:rsidRPr="004A6106">
              <w:rPr>
                <w:lang w:val="fr-CA"/>
              </w:rPr>
              <w:t xml:space="preserve">Récapitulation </w:t>
            </w:r>
          </w:p>
        </w:tc>
      </w:tr>
    </w:tbl>
    <w:p w14:paraId="3AC0B066" w14:textId="77777777" w:rsidR="006D6CC6" w:rsidRPr="004A6106" w:rsidRDefault="006D6CC6" w:rsidP="00BD10E9">
      <w:pPr>
        <w:rPr>
          <w:lang w:val="fr-CA"/>
        </w:rPr>
      </w:pPr>
    </w:p>
    <w:p w14:paraId="0D3C0B68" w14:textId="77777777" w:rsidR="006D6CC6" w:rsidRPr="004A6106" w:rsidRDefault="006D6CC6" w:rsidP="00BD10E9">
      <w:pPr>
        <w:rPr>
          <w:lang w:val="fr-CA"/>
        </w:rPr>
      </w:pPr>
    </w:p>
    <w:p w14:paraId="71818DB4" w14:textId="77777777" w:rsidR="006D6CC6" w:rsidRPr="004A6106" w:rsidRDefault="006D6CC6" w:rsidP="00BD10E9">
      <w:pPr>
        <w:rPr>
          <w:lang w:val="fr-CA"/>
        </w:rPr>
      </w:pPr>
    </w:p>
    <w:tbl>
      <w:tblPr>
        <w:tblW w:w="461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600" w:firstRow="0" w:lastRow="0" w:firstColumn="0" w:lastColumn="0" w:noHBand="1" w:noVBand="1"/>
      </w:tblPr>
      <w:tblGrid>
        <w:gridCol w:w="549"/>
        <w:gridCol w:w="2338"/>
        <w:gridCol w:w="5749"/>
      </w:tblGrid>
      <w:tr w:rsidR="006F4A12" w:rsidRPr="004A6106" w14:paraId="1FC187BC" w14:textId="77777777" w:rsidTr="00131794">
        <w:trPr>
          <w:trHeight w:val="851"/>
          <w:jc w:val="center"/>
        </w:trPr>
        <w:tc>
          <w:tcPr>
            <w:tcW w:w="549" w:type="dxa"/>
          </w:tcPr>
          <w:p w14:paraId="1226348B" w14:textId="77777777" w:rsidR="006D6CC6" w:rsidRPr="004A6106" w:rsidRDefault="006D6CC6" w:rsidP="00131794">
            <w:pPr>
              <w:rPr>
                <w:lang w:val="fr-CA"/>
              </w:rPr>
            </w:pPr>
          </w:p>
        </w:tc>
        <w:tc>
          <w:tcPr>
            <w:tcW w:w="2338" w:type="dxa"/>
          </w:tcPr>
          <w:p w14:paraId="5EBA7F9A" w14:textId="0FEA684B" w:rsidR="006D6CC6" w:rsidRPr="004A6106" w:rsidRDefault="00A41EFA" w:rsidP="00131794">
            <w:pPr>
              <w:pStyle w:val="MeetingTimes"/>
              <w:spacing w:before="0" w:after="120"/>
              <w:rPr>
                <w:lang w:val="fr-CA"/>
              </w:rPr>
            </w:pPr>
            <w:r w:rsidRPr="004A6106">
              <w:rPr>
                <w:lang w:val="fr-CA"/>
              </w:rPr>
              <w:t>Durée</w:t>
            </w:r>
          </w:p>
        </w:tc>
        <w:tc>
          <w:tcPr>
            <w:tcW w:w="5748" w:type="dxa"/>
          </w:tcPr>
          <w:p w14:paraId="33BE1F3F" w14:textId="36825CCF" w:rsidR="006D6CC6" w:rsidRPr="004A6106" w:rsidRDefault="00573880" w:rsidP="00131794">
            <w:pPr>
              <w:pStyle w:val="ItemDescription"/>
              <w:spacing w:before="0"/>
              <w:rPr>
                <w:b/>
                <w:lang w:val="fr-CA"/>
              </w:rPr>
            </w:pPr>
            <w:r w:rsidRPr="004A6106">
              <w:rPr>
                <w:b/>
                <w:lang w:val="fr-CA"/>
              </w:rPr>
              <w:t>Sujet</w:t>
            </w:r>
          </w:p>
        </w:tc>
      </w:tr>
      <w:tr w:rsidR="006F4A12" w:rsidRPr="004A6106" w14:paraId="64FC0693" w14:textId="77777777" w:rsidTr="00131794">
        <w:trPr>
          <w:trHeight w:val="851"/>
          <w:jc w:val="center"/>
        </w:trPr>
        <w:tc>
          <w:tcPr>
            <w:tcW w:w="549" w:type="dxa"/>
          </w:tcPr>
          <w:p w14:paraId="5E80F496" w14:textId="77777777" w:rsidR="006D6CC6" w:rsidRPr="004A6106" w:rsidRDefault="006D6CC6" w:rsidP="00131794">
            <w:pPr>
              <w:rPr>
                <w:lang w:val="fr-CA"/>
              </w:rPr>
            </w:pPr>
          </w:p>
        </w:tc>
        <w:tc>
          <w:tcPr>
            <w:tcW w:w="2338" w:type="dxa"/>
          </w:tcPr>
          <w:p w14:paraId="14340EAA" w14:textId="6225DEF7" w:rsidR="006D6CC6" w:rsidRPr="004A6106" w:rsidRDefault="00A40900" w:rsidP="00131794">
            <w:pPr>
              <w:pStyle w:val="MeetingTimes"/>
              <w:spacing w:before="0" w:after="120"/>
              <w:rPr>
                <w:lang w:val="fr-CA"/>
              </w:rPr>
            </w:pPr>
            <w:r w:rsidRPr="004A6106">
              <w:rPr>
                <w:lang w:val="fr-CA"/>
              </w:rPr>
              <w:t>24 mars 2023</w:t>
            </w:r>
          </w:p>
          <w:p w14:paraId="2C234003" w14:textId="77777777" w:rsidR="006D6CC6" w:rsidRPr="004A6106" w:rsidRDefault="006D6CC6" w:rsidP="00131794">
            <w:pPr>
              <w:pStyle w:val="MeetingTimes"/>
              <w:spacing w:before="0" w:after="120"/>
              <w:rPr>
                <w:lang w:val="fr-CA"/>
              </w:rPr>
            </w:pPr>
          </w:p>
          <w:p w14:paraId="5617D9AF" w14:textId="6B192D62" w:rsidR="006D6CC6" w:rsidRPr="004A6106" w:rsidRDefault="00CC46AF" w:rsidP="00131794">
            <w:pPr>
              <w:pStyle w:val="MeetingTimes"/>
              <w:spacing w:before="0" w:after="120"/>
              <w:rPr>
                <w:lang w:val="fr-CA"/>
              </w:rPr>
            </w:pPr>
            <w:r w:rsidRPr="004A6106">
              <w:rPr>
                <w:lang w:val="fr-CA"/>
              </w:rPr>
              <w:t>9</w:t>
            </w:r>
            <w:r w:rsidR="00F85551" w:rsidRPr="004A6106">
              <w:rPr>
                <w:lang w:val="fr-CA"/>
              </w:rPr>
              <w:t> h</w:t>
            </w:r>
            <w:r w:rsidRPr="004A6106">
              <w:rPr>
                <w:lang w:val="fr-CA"/>
              </w:rPr>
              <w:t xml:space="preserve"> </w:t>
            </w:r>
            <w:r w:rsidR="00F85551" w:rsidRPr="004A6106">
              <w:rPr>
                <w:lang w:val="fr-CA"/>
              </w:rPr>
              <w:t>à</w:t>
            </w:r>
            <w:r w:rsidRPr="004A6106">
              <w:rPr>
                <w:lang w:val="fr-CA"/>
              </w:rPr>
              <w:t xml:space="preserve"> 9</w:t>
            </w:r>
            <w:r w:rsidR="00F85551" w:rsidRPr="004A6106">
              <w:rPr>
                <w:lang w:val="fr-CA"/>
              </w:rPr>
              <w:t> h </w:t>
            </w:r>
            <w:r w:rsidRPr="004A6106">
              <w:rPr>
                <w:lang w:val="fr-CA"/>
              </w:rPr>
              <w:t>15</w:t>
            </w:r>
          </w:p>
        </w:tc>
        <w:tc>
          <w:tcPr>
            <w:tcW w:w="5748" w:type="dxa"/>
          </w:tcPr>
          <w:p w14:paraId="61A729D0" w14:textId="29EC58D8" w:rsidR="006D6CC6" w:rsidRPr="004A6106" w:rsidRDefault="005E0087" w:rsidP="00131794">
            <w:pPr>
              <w:pStyle w:val="ItemDescription"/>
              <w:spacing w:before="0"/>
              <w:rPr>
                <w:lang w:val="fr-CA"/>
              </w:rPr>
            </w:pPr>
            <w:r w:rsidRPr="004A6106">
              <w:rPr>
                <w:lang w:val="fr-CA"/>
              </w:rPr>
              <w:t xml:space="preserve">Mot de bienvenue </w:t>
            </w:r>
          </w:p>
        </w:tc>
      </w:tr>
      <w:tr w:rsidR="006F4A12" w:rsidRPr="00711938" w14:paraId="58E0B640" w14:textId="77777777" w:rsidTr="00131794">
        <w:trPr>
          <w:trHeight w:val="851"/>
          <w:jc w:val="center"/>
        </w:trPr>
        <w:tc>
          <w:tcPr>
            <w:tcW w:w="549" w:type="dxa"/>
          </w:tcPr>
          <w:p w14:paraId="33951277" w14:textId="77777777" w:rsidR="006D6CC6" w:rsidRPr="004A6106" w:rsidRDefault="006D6CC6" w:rsidP="00131794">
            <w:pPr>
              <w:rPr>
                <w:lang w:val="fr-CA"/>
              </w:rPr>
            </w:pPr>
          </w:p>
        </w:tc>
        <w:tc>
          <w:tcPr>
            <w:tcW w:w="2338" w:type="dxa"/>
          </w:tcPr>
          <w:p w14:paraId="78F229A2" w14:textId="24A47AEF" w:rsidR="006D6CC6" w:rsidRPr="004A6106" w:rsidRDefault="00CC46AF" w:rsidP="00131794">
            <w:pPr>
              <w:pStyle w:val="MeetingTimes"/>
              <w:spacing w:before="0" w:after="120"/>
              <w:rPr>
                <w:lang w:val="fr-CA"/>
              </w:rPr>
            </w:pPr>
            <w:r w:rsidRPr="004A6106">
              <w:rPr>
                <w:lang w:val="fr-CA"/>
              </w:rPr>
              <w:t>9</w:t>
            </w:r>
            <w:r w:rsidR="00F85551" w:rsidRPr="004A6106">
              <w:rPr>
                <w:lang w:val="fr-CA"/>
              </w:rPr>
              <w:t> h </w:t>
            </w:r>
            <w:r w:rsidRPr="004A6106">
              <w:rPr>
                <w:lang w:val="fr-CA"/>
              </w:rPr>
              <w:t xml:space="preserve">15 </w:t>
            </w:r>
            <w:r w:rsidR="00F85551" w:rsidRPr="004A6106">
              <w:rPr>
                <w:lang w:val="fr-CA"/>
              </w:rPr>
              <w:t>à</w:t>
            </w:r>
            <w:r w:rsidRPr="004A6106">
              <w:rPr>
                <w:lang w:val="fr-CA"/>
              </w:rPr>
              <w:t xml:space="preserve"> 10</w:t>
            </w:r>
            <w:r w:rsidR="00F85551" w:rsidRPr="004A6106">
              <w:rPr>
                <w:lang w:val="fr-CA"/>
              </w:rPr>
              <w:t> h </w:t>
            </w:r>
            <w:r w:rsidRPr="004A6106">
              <w:rPr>
                <w:lang w:val="fr-CA"/>
              </w:rPr>
              <w:t>15</w:t>
            </w:r>
          </w:p>
          <w:p w14:paraId="7D3413D9" w14:textId="77777777" w:rsidR="006D6CC6" w:rsidRPr="004A6106" w:rsidRDefault="006D6CC6" w:rsidP="00131794">
            <w:pPr>
              <w:pStyle w:val="MeetingTimes"/>
              <w:spacing w:before="0" w:after="120"/>
              <w:rPr>
                <w:lang w:val="fr-CA"/>
              </w:rPr>
            </w:pPr>
          </w:p>
        </w:tc>
        <w:tc>
          <w:tcPr>
            <w:tcW w:w="5748" w:type="dxa"/>
          </w:tcPr>
          <w:p w14:paraId="29EBDF42" w14:textId="4C2D8F36" w:rsidR="006D6CC6" w:rsidRPr="004A6106" w:rsidRDefault="00816CBA" w:rsidP="00131794">
            <w:pPr>
              <w:pStyle w:val="ItemDescription"/>
              <w:spacing w:before="0"/>
              <w:rPr>
                <w:lang w:val="fr-CA"/>
              </w:rPr>
            </w:pPr>
            <w:r w:rsidRPr="004A6106">
              <w:rPr>
                <w:lang w:val="fr-CA"/>
              </w:rPr>
              <w:t xml:space="preserve">Cybersécurité et protection des renseignements </w:t>
            </w:r>
            <w:r w:rsidRPr="00F73431">
              <w:rPr>
                <w:sz w:val="20"/>
                <w:szCs w:val="16"/>
                <w:lang w:val="fr-CA"/>
              </w:rPr>
              <w:t>(thème 10)</w:t>
            </w:r>
          </w:p>
        </w:tc>
      </w:tr>
      <w:tr w:rsidR="006F4A12" w:rsidRPr="004A6106" w14:paraId="6496D6E0" w14:textId="77777777" w:rsidTr="00131794">
        <w:trPr>
          <w:trHeight w:val="851"/>
          <w:jc w:val="center"/>
        </w:trPr>
        <w:tc>
          <w:tcPr>
            <w:tcW w:w="549" w:type="dxa"/>
          </w:tcPr>
          <w:p w14:paraId="3FBC95D5" w14:textId="77777777" w:rsidR="006D6CC6" w:rsidRPr="004A6106" w:rsidRDefault="006D6CC6" w:rsidP="00131794">
            <w:pPr>
              <w:rPr>
                <w:lang w:val="fr-CA"/>
              </w:rPr>
            </w:pPr>
          </w:p>
        </w:tc>
        <w:tc>
          <w:tcPr>
            <w:tcW w:w="2338" w:type="dxa"/>
          </w:tcPr>
          <w:p w14:paraId="40CCEB63" w14:textId="71ACBD61" w:rsidR="006D6CC6" w:rsidRPr="004A6106" w:rsidRDefault="00CC46AF" w:rsidP="00131794">
            <w:pPr>
              <w:pStyle w:val="MeetingTimes"/>
              <w:spacing w:before="0" w:after="120"/>
              <w:rPr>
                <w:lang w:val="fr-CA"/>
              </w:rPr>
            </w:pPr>
            <w:r w:rsidRPr="004A6106">
              <w:rPr>
                <w:lang w:val="fr-CA"/>
              </w:rPr>
              <w:t>10</w:t>
            </w:r>
            <w:r w:rsidR="00F85551" w:rsidRPr="004A6106">
              <w:rPr>
                <w:lang w:val="fr-CA"/>
              </w:rPr>
              <w:t> h </w:t>
            </w:r>
            <w:r w:rsidRPr="004A6106">
              <w:rPr>
                <w:lang w:val="fr-CA"/>
              </w:rPr>
              <w:t xml:space="preserve">15 </w:t>
            </w:r>
            <w:r w:rsidR="00F85551" w:rsidRPr="004A6106">
              <w:rPr>
                <w:lang w:val="fr-CA"/>
              </w:rPr>
              <w:t>à</w:t>
            </w:r>
            <w:r w:rsidRPr="004A6106">
              <w:rPr>
                <w:lang w:val="fr-CA"/>
              </w:rPr>
              <w:t xml:space="preserve"> 10</w:t>
            </w:r>
            <w:r w:rsidR="00F85551" w:rsidRPr="004A6106">
              <w:rPr>
                <w:lang w:val="fr-CA"/>
              </w:rPr>
              <w:t> h </w:t>
            </w:r>
            <w:r w:rsidRPr="004A6106">
              <w:rPr>
                <w:lang w:val="fr-CA"/>
              </w:rPr>
              <w:t>30</w:t>
            </w:r>
          </w:p>
          <w:p w14:paraId="106F1B18" w14:textId="77777777" w:rsidR="006D6CC6" w:rsidRPr="004A6106" w:rsidRDefault="006D6CC6" w:rsidP="00131794">
            <w:pPr>
              <w:pStyle w:val="MeetingTimes"/>
              <w:spacing w:before="0" w:after="120"/>
              <w:rPr>
                <w:lang w:val="fr-CA"/>
              </w:rPr>
            </w:pPr>
          </w:p>
        </w:tc>
        <w:tc>
          <w:tcPr>
            <w:tcW w:w="5748" w:type="dxa"/>
          </w:tcPr>
          <w:p w14:paraId="71C318AF" w14:textId="0ADBDD44" w:rsidR="006D6CC6" w:rsidRPr="004A6106" w:rsidRDefault="00AB1F6E" w:rsidP="00131794">
            <w:pPr>
              <w:pStyle w:val="ItemDescription"/>
              <w:spacing w:before="0"/>
              <w:rPr>
                <w:lang w:val="fr-CA"/>
              </w:rPr>
            </w:pPr>
            <w:r w:rsidRPr="004A6106">
              <w:rPr>
                <w:lang w:val="fr-CA"/>
              </w:rPr>
              <w:t xml:space="preserve">Pause-santé </w:t>
            </w:r>
          </w:p>
        </w:tc>
      </w:tr>
      <w:tr w:rsidR="006F4A12" w:rsidRPr="00711938" w14:paraId="394BDD4E" w14:textId="77777777" w:rsidTr="00131794">
        <w:trPr>
          <w:trHeight w:val="851"/>
          <w:jc w:val="center"/>
        </w:trPr>
        <w:tc>
          <w:tcPr>
            <w:tcW w:w="549" w:type="dxa"/>
          </w:tcPr>
          <w:p w14:paraId="09BE3F65" w14:textId="77777777" w:rsidR="006D6CC6" w:rsidRPr="004A6106" w:rsidRDefault="006D6CC6" w:rsidP="00131794">
            <w:pPr>
              <w:rPr>
                <w:lang w:val="fr-CA"/>
              </w:rPr>
            </w:pPr>
          </w:p>
        </w:tc>
        <w:tc>
          <w:tcPr>
            <w:tcW w:w="2338" w:type="dxa"/>
          </w:tcPr>
          <w:p w14:paraId="6292CE5F" w14:textId="52061FB8" w:rsidR="006D6CC6" w:rsidRPr="004A6106" w:rsidRDefault="00CC46AF" w:rsidP="00131794">
            <w:pPr>
              <w:pStyle w:val="MeetingTimes"/>
              <w:spacing w:before="0" w:after="120"/>
              <w:rPr>
                <w:lang w:val="fr-CA"/>
              </w:rPr>
            </w:pPr>
            <w:r w:rsidRPr="004A6106">
              <w:rPr>
                <w:lang w:val="fr-CA"/>
              </w:rPr>
              <w:t>10</w:t>
            </w:r>
            <w:r w:rsidR="00F85551" w:rsidRPr="004A6106">
              <w:rPr>
                <w:lang w:val="fr-CA"/>
              </w:rPr>
              <w:t> h </w:t>
            </w:r>
            <w:r w:rsidRPr="004A6106">
              <w:rPr>
                <w:lang w:val="fr-CA"/>
              </w:rPr>
              <w:t xml:space="preserve">30 </w:t>
            </w:r>
            <w:r w:rsidR="00F85551" w:rsidRPr="004A6106">
              <w:rPr>
                <w:lang w:val="fr-CA"/>
              </w:rPr>
              <w:t>à</w:t>
            </w:r>
            <w:r w:rsidRPr="004A6106">
              <w:rPr>
                <w:lang w:val="fr-CA"/>
              </w:rPr>
              <w:t xml:space="preserve"> 11</w:t>
            </w:r>
            <w:r w:rsidR="00F85551" w:rsidRPr="004A6106">
              <w:rPr>
                <w:lang w:val="fr-CA"/>
              </w:rPr>
              <w:t> h</w:t>
            </w:r>
            <w:r w:rsidRPr="004A6106">
              <w:rPr>
                <w:lang w:val="fr-CA"/>
              </w:rPr>
              <w:t xml:space="preserve"> </w:t>
            </w:r>
          </w:p>
          <w:p w14:paraId="3503F3B2" w14:textId="77777777" w:rsidR="006D6CC6" w:rsidRPr="004A6106" w:rsidRDefault="006D6CC6" w:rsidP="00131794">
            <w:pPr>
              <w:pStyle w:val="MeetingTimes"/>
              <w:spacing w:before="0" w:after="120"/>
              <w:rPr>
                <w:lang w:val="fr-CA"/>
              </w:rPr>
            </w:pPr>
          </w:p>
        </w:tc>
        <w:tc>
          <w:tcPr>
            <w:tcW w:w="5748" w:type="dxa"/>
          </w:tcPr>
          <w:p w14:paraId="2B821AD3" w14:textId="2FC43A98" w:rsidR="006D6CC6" w:rsidRPr="004A6106" w:rsidRDefault="009A0D18" w:rsidP="00131794">
            <w:pPr>
              <w:pStyle w:val="ItemDescription"/>
              <w:spacing w:before="0"/>
              <w:rPr>
                <w:lang w:val="fr-CA"/>
              </w:rPr>
            </w:pPr>
            <w:r w:rsidRPr="004A6106">
              <w:rPr>
                <w:lang w:val="fr-CA"/>
              </w:rPr>
              <w:t xml:space="preserve">Autorisations pour les préposés à la sécurité nucléaire </w:t>
            </w:r>
            <w:r w:rsidRPr="00F73431">
              <w:rPr>
                <w:sz w:val="20"/>
                <w:szCs w:val="16"/>
                <w:lang w:val="fr-CA"/>
              </w:rPr>
              <w:t xml:space="preserve">(thème </w:t>
            </w:r>
            <w:r w:rsidR="00D962DF" w:rsidRPr="00F73431">
              <w:rPr>
                <w:sz w:val="20"/>
                <w:szCs w:val="16"/>
                <w:lang w:val="fr-CA"/>
              </w:rPr>
              <w:t>lié à</w:t>
            </w:r>
            <w:r w:rsidRPr="00F73431">
              <w:rPr>
                <w:sz w:val="20"/>
                <w:szCs w:val="16"/>
                <w:lang w:val="fr-CA"/>
              </w:rPr>
              <w:t xml:space="preserve"> l’industrie 2)</w:t>
            </w:r>
          </w:p>
        </w:tc>
      </w:tr>
      <w:tr w:rsidR="006F4A12" w:rsidRPr="00711938" w14:paraId="0FF5335E" w14:textId="77777777" w:rsidTr="00131794">
        <w:trPr>
          <w:trHeight w:val="851"/>
          <w:jc w:val="center"/>
        </w:trPr>
        <w:tc>
          <w:tcPr>
            <w:tcW w:w="549" w:type="dxa"/>
          </w:tcPr>
          <w:p w14:paraId="2E75CC35" w14:textId="77777777" w:rsidR="006D6CC6" w:rsidRPr="004A6106" w:rsidRDefault="006D6CC6" w:rsidP="00131794">
            <w:pPr>
              <w:rPr>
                <w:lang w:val="fr-CA"/>
              </w:rPr>
            </w:pPr>
          </w:p>
        </w:tc>
        <w:tc>
          <w:tcPr>
            <w:tcW w:w="2338" w:type="dxa"/>
          </w:tcPr>
          <w:p w14:paraId="7827E30B" w14:textId="08895BFA" w:rsidR="006D6CC6" w:rsidRPr="004A6106" w:rsidRDefault="00CC46AF" w:rsidP="00131794">
            <w:pPr>
              <w:pStyle w:val="MeetingTimes"/>
              <w:spacing w:before="0" w:after="120"/>
              <w:rPr>
                <w:lang w:val="fr-CA"/>
              </w:rPr>
            </w:pPr>
            <w:r w:rsidRPr="004A6106">
              <w:rPr>
                <w:lang w:val="fr-CA"/>
              </w:rPr>
              <w:t>11</w:t>
            </w:r>
            <w:r w:rsidR="00F85551" w:rsidRPr="004A6106">
              <w:rPr>
                <w:lang w:val="fr-CA"/>
              </w:rPr>
              <w:t> h</w:t>
            </w:r>
            <w:r w:rsidRPr="004A6106">
              <w:rPr>
                <w:lang w:val="fr-CA"/>
              </w:rPr>
              <w:t xml:space="preserve"> </w:t>
            </w:r>
            <w:r w:rsidR="00F85551" w:rsidRPr="004A6106">
              <w:rPr>
                <w:lang w:val="fr-CA"/>
              </w:rPr>
              <w:t>à</w:t>
            </w:r>
            <w:r w:rsidRPr="004A6106">
              <w:rPr>
                <w:lang w:val="fr-CA"/>
              </w:rPr>
              <w:t xml:space="preserve"> 11</w:t>
            </w:r>
            <w:r w:rsidR="00F85551" w:rsidRPr="004A6106">
              <w:rPr>
                <w:lang w:val="fr-CA"/>
              </w:rPr>
              <w:t> h </w:t>
            </w:r>
            <w:r w:rsidRPr="004A6106">
              <w:rPr>
                <w:lang w:val="fr-CA"/>
              </w:rPr>
              <w:t>30</w:t>
            </w:r>
          </w:p>
          <w:p w14:paraId="2D3E1C60" w14:textId="77777777" w:rsidR="006D6CC6" w:rsidRPr="004A6106" w:rsidRDefault="006D6CC6" w:rsidP="00131794">
            <w:pPr>
              <w:pStyle w:val="MeetingTimes"/>
              <w:spacing w:before="0" w:after="120"/>
              <w:rPr>
                <w:lang w:val="fr-CA"/>
              </w:rPr>
            </w:pPr>
          </w:p>
        </w:tc>
        <w:tc>
          <w:tcPr>
            <w:tcW w:w="5748" w:type="dxa"/>
          </w:tcPr>
          <w:p w14:paraId="422E941F" w14:textId="1608983D" w:rsidR="006D6CC6" w:rsidRPr="00F942CC" w:rsidRDefault="00AF0246" w:rsidP="00F942CC">
            <w:pPr>
              <w:pStyle w:val="ItemDescription"/>
              <w:spacing w:before="0" w:afterLines="80" w:after="192"/>
              <w:rPr>
                <w:sz w:val="16"/>
                <w:szCs w:val="16"/>
                <w:lang w:val="fr-CA"/>
              </w:rPr>
            </w:pPr>
            <w:r w:rsidRPr="004A6106">
              <w:rPr>
                <w:lang w:val="fr-CA"/>
              </w:rPr>
              <w:t xml:space="preserve">Autorisations, autorisation d’accès au site et autorisation de sécurité approfondie </w:t>
            </w:r>
            <w:r w:rsidRPr="00F73431">
              <w:rPr>
                <w:sz w:val="20"/>
                <w:szCs w:val="16"/>
                <w:lang w:val="fr-CA"/>
              </w:rPr>
              <w:t xml:space="preserve">(thème </w:t>
            </w:r>
            <w:r w:rsidR="00D962DF" w:rsidRPr="00F73431">
              <w:rPr>
                <w:sz w:val="20"/>
                <w:szCs w:val="16"/>
                <w:lang w:val="fr-CA"/>
              </w:rPr>
              <w:t>lié à</w:t>
            </w:r>
            <w:r w:rsidRPr="00F73431">
              <w:rPr>
                <w:sz w:val="20"/>
                <w:szCs w:val="16"/>
                <w:lang w:val="fr-CA"/>
              </w:rPr>
              <w:t xml:space="preserve"> l’industrie 1)</w:t>
            </w:r>
          </w:p>
        </w:tc>
      </w:tr>
      <w:tr w:rsidR="006F4A12" w:rsidRPr="004A6106" w14:paraId="1EC8155A" w14:textId="77777777" w:rsidTr="00131794">
        <w:trPr>
          <w:trHeight w:val="851"/>
          <w:jc w:val="center"/>
        </w:trPr>
        <w:tc>
          <w:tcPr>
            <w:tcW w:w="549" w:type="dxa"/>
          </w:tcPr>
          <w:p w14:paraId="4CC06946" w14:textId="77777777" w:rsidR="006D6CC6" w:rsidRPr="004A6106" w:rsidRDefault="006D6CC6" w:rsidP="00131794">
            <w:pPr>
              <w:rPr>
                <w:lang w:val="fr-CA"/>
              </w:rPr>
            </w:pPr>
          </w:p>
        </w:tc>
        <w:tc>
          <w:tcPr>
            <w:tcW w:w="2338" w:type="dxa"/>
          </w:tcPr>
          <w:p w14:paraId="0C939141" w14:textId="729467C0" w:rsidR="006D6CC6" w:rsidRPr="004A6106" w:rsidRDefault="00CC46AF" w:rsidP="00131794">
            <w:pPr>
              <w:pStyle w:val="MeetingTimes"/>
              <w:spacing w:before="0" w:after="120"/>
              <w:rPr>
                <w:lang w:val="fr-CA"/>
              </w:rPr>
            </w:pPr>
            <w:r w:rsidRPr="004A6106">
              <w:rPr>
                <w:lang w:val="fr-CA"/>
              </w:rPr>
              <w:t>11</w:t>
            </w:r>
            <w:r w:rsidR="00F85551" w:rsidRPr="004A6106">
              <w:rPr>
                <w:lang w:val="fr-CA"/>
              </w:rPr>
              <w:t> h </w:t>
            </w:r>
            <w:r w:rsidRPr="004A6106">
              <w:rPr>
                <w:lang w:val="fr-CA"/>
              </w:rPr>
              <w:t xml:space="preserve">30 </w:t>
            </w:r>
            <w:r w:rsidR="00F85551" w:rsidRPr="004A6106">
              <w:rPr>
                <w:lang w:val="fr-CA"/>
              </w:rPr>
              <w:t>à</w:t>
            </w:r>
            <w:r w:rsidRPr="004A6106">
              <w:rPr>
                <w:lang w:val="fr-CA"/>
              </w:rPr>
              <w:t xml:space="preserve"> 11</w:t>
            </w:r>
            <w:r w:rsidR="00F85551" w:rsidRPr="004A6106">
              <w:rPr>
                <w:lang w:val="fr-CA"/>
              </w:rPr>
              <w:t> h </w:t>
            </w:r>
            <w:r w:rsidRPr="004A6106">
              <w:rPr>
                <w:lang w:val="fr-CA"/>
              </w:rPr>
              <w:t>50</w:t>
            </w:r>
          </w:p>
          <w:p w14:paraId="14381088" w14:textId="77777777" w:rsidR="006D6CC6" w:rsidRPr="004A6106" w:rsidRDefault="006D6CC6" w:rsidP="00131794">
            <w:pPr>
              <w:pStyle w:val="MeetingTimes"/>
              <w:spacing w:before="0" w:after="120"/>
              <w:rPr>
                <w:lang w:val="fr-CA"/>
              </w:rPr>
            </w:pPr>
          </w:p>
        </w:tc>
        <w:tc>
          <w:tcPr>
            <w:tcW w:w="5748" w:type="dxa"/>
          </w:tcPr>
          <w:p w14:paraId="127B49BA" w14:textId="62C5066B" w:rsidR="006D6CC6" w:rsidRPr="00F942CC" w:rsidRDefault="00D962DF" w:rsidP="00F942CC">
            <w:pPr>
              <w:pStyle w:val="ItemDescription"/>
              <w:spacing w:before="0" w:afterLines="80" w:after="192"/>
              <w:ind w:right="357"/>
              <w:rPr>
                <w:sz w:val="20"/>
                <w:szCs w:val="16"/>
                <w:lang w:val="fr-CA"/>
              </w:rPr>
            </w:pPr>
            <w:r w:rsidRPr="004A6106">
              <w:rPr>
                <w:lang w:val="fr-CA"/>
              </w:rPr>
              <w:t xml:space="preserve">Autorisation avec escorte </w:t>
            </w:r>
            <w:r w:rsidRPr="00F73431">
              <w:rPr>
                <w:sz w:val="20"/>
                <w:szCs w:val="16"/>
                <w:lang w:val="fr-CA"/>
              </w:rPr>
              <w:t>(thème 7)</w:t>
            </w:r>
          </w:p>
        </w:tc>
      </w:tr>
      <w:tr w:rsidR="006F4A12" w:rsidRPr="00711938" w14:paraId="03846C24" w14:textId="77777777" w:rsidTr="00131794">
        <w:trPr>
          <w:trHeight w:val="851"/>
          <w:jc w:val="center"/>
        </w:trPr>
        <w:tc>
          <w:tcPr>
            <w:tcW w:w="549" w:type="dxa"/>
          </w:tcPr>
          <w:p w14:paraId="7CE7DAAF" w14:textId="77777777" w:rsidR="006D6CC6" w:rsidRPr="004A6106" w:rsidRDefault="006D6CC6" w:rsidP="00131794">
            <w:pPr>
              <w:rPr>
                <w:lang w:val="fr-CA"/>
              </w:rPr>
            </w:pPr>
          </w:p>
        </w:tc>
        <w:tc>
          <w:tcPr>
            <w:tcW w:w="2338" w:type="dxa"/>
          </w:tcPr>
          <w:p w14:paraId="65BD663B" w14:textId="082F603A" w:rsidR="006D6CC6" w:rsidRPr="004A6106" w:rsidRDefault="00CC46AF" w:rsidP="00131794">
            <w:pPr>
              <w:pStyle w:val="MeetingTimes"/>
              <w:spacing w:before="0" w:after="120"/>
              <w:rPr>
                <w:lang w:val="fr-CA"/>
              </w:rPr>
            </w:pPr>
            <w:r w:rsidRPr="004A6106">
              <w:rPr>
                <w:lang w:val="fr-CA"/>
              </w:rPr>
              <w:t>11</w:t>
            </w:r>
            <w:r w:rsidR="00F85551" w:rsidRPr="004A6106">
              <w:rPr>
                <w:lang w:val="fr-CA"/>
              </w:rPr>
              <w:t> h </w:t>
            </w:r>
            <w:r w:rsidRPr="004A6106">
              <w:rPr>
                <w:lang w:val="fr-CA"/>
              </w:rPr>
              <w:t xml:space="preserve">50 </w:t>
            </w:r>
            <w:r w:rsidR="00F85551" w:rsidRPr="004A6106">
              <w:rPr>
                <w:lang w:val="fr-CA"/>
              </w:rPr>
              <w:t>à</w:t>
            </w:r>
            <w:r w:rsidRPr="004A6106">
              <w:rPr>
                <w:lang w:val="fr-CA"/>
              </w:rPr>
              <w:t xml:space="preserve"> 12</w:t>
            </w:r>
            <w:r w:rsidR="00F85551" w:rsidRPr="004A6106">
              <w:rPr>
                <w:lang w:val="fr-CA"/>
              </w:rPr>
              <w:t> h </w:t>
            </w:r>
            <w:r w:rsidRPr="004A6106">
              <w:rPr>
                <w:lang w:val="fr-CA"/>
              </w:rPr>
              <w:t>20</w:t>
            </w:r>
          </w:p>
          <w:p w14:paraId="2E07CC9C" w14:textId="77777777" w:rsidR="006D6CC6" w:rsidRPr="004A6106" w:rsidRDefault="006D6CC6" w:rsidP="00131794">
            <w:pPr>
              <w:pStyle w:val="MeetingTimes"/>
              <w:spacing w:before="0" w:after="120"/>
              <w:rPr>
                <w:lang w:val="fr-CA"/>
              </w:rPr>
            </w:pPr>
          </w:p>
        </w:tc>
        <w:tc>
          <w:tcPr>
            <w:tcW w:w="5748" w:type="dxa"/>
          </w:tcPr>
          <w:p w14:paraId="7250095F" w14:textId="3B9421CB" w:rsidR="006D6CC6" w:rsidRPr="00F942CC" w:rsidRDefault="00127E76" w:rsidP="00F942CC">
            <w:pPr>
              <w:pStyle w:val="ItemDescription"/>
              <w:spacing w:before="0" w:after="80"/>
              <w:ind w:right="357"/>
              <w:rPr>
                <w:sz w:val="20"/>
                <w:szCs w:val="16"/>
                <w:lang w:val="fr-CA"/>
              </w:rPr>
            </w:pPr>
            <w:r w:rsidRPr="004A6106">
              <w:rPr>
                <w:lang w:val="fr-CA"/>
              </w:rPr>
              <w:t xml:space="preserve">Sécurité du transport des matières nucléaires </w:t>
            </w:r>
            <w:r w:rsidRPr="00F73431">
              <w:rPr>
                <w:sz w:val="20"/>
                <w:szCs w:val="16"/>
                <w:lang w:val="fr-CA"/>
              </w:rPr>
              <w:t>(thème 11)</w:t>
            </w:r>
          </w:p>
        </w:tc>
      </w:tr>
      <w:tr w:rsidR="006F4A12" w:rsidRPr="004A6106" w14:paraId="3649798A" w14:textId="77777777" w:rsidTr="00131794">
        <w:trPr>
          <w:trHeight w:val="851"/>
          <w:jc w:val="center"/>
        </w:trPr>
        <w:tc>
          <w:tcPr>
            <w:tcW w:w="549" w:type="dxa"/>
          </w:tcPr>
          <w:p w14:paraId="0A35407A" w14:textId="77777777" w:rsidR="006D6CC6" w:rsidRPr="004A6106" w:rsidRDefault="006D6CC6" w:rsidP="00131794">
            <w:pPr>
              <w:rPr>
                <w:lang w:val="fr-CA"/>
              </w:rPr>
            </w:pPr>
          </w:p>
        </w:tc>
        <w:tc>
          <w:tcPr>
            <w:tcW w:w="2338" w:type="dxa"/>
          </w:tcPr>
          <w:p w14:paraId="37F73FEB" w14:textId="26869863" w:rsidR="006D6CC6" w:rsidRPr="004A6106" w:rsidRDefault="00CC46AF" w:rsidP="00131794">
            <w:pPr>
              <w:pStyle w:val="MeetingTimes"/>
              <w:spacing w:before="0" w:after="120"/>
              <w:rPr>
                <w:lang w:val="fr-CA"/>
              </w:rPr>
            </w:pPr>
            <w:r w:rsidRPr="004A6106">
              <w:rPr>
                <w:lang w:val="fr-CA"/>
              </w:rPr>
              <w:t>12</w:t>
            </w:r>
            <w:r w:rsidR="00F85551" w:rsidRPr="004A6106">
              <w:rPr>
                <w:lang w:val="fr-CA"/>
              </w:rPr>
              <w:t> h </w:t>
            </w:r>
            <w:r w:rsidRPr="004A6106">
              <w:rPr>
                <w:lang w:val="fr-CA"/>
              </w:rPr>
              <w:t xml:space="preserve">20 </w:t>
            </w:r>
            <w:r w:rsidR="00F85551" w:rsidRPr="004A6106">
              <w:rPr>
                <w:lang w:val="fr-CA"/>
              </w:rPr>
              <w:t>à</w:t>
            </w:r>
            <w:r w:rsidRPr="004A6106">
              <w:rPr>
                <w:lang w:val="fr-CA"/>
              </w:rPr>
              <w:t xml:space="preserve"> 12</w:t>
            </w:r>
            <w:r w:rsidR="00F85551" w:rsidRPr="004A6106">
              <w:rPr>
                <w:lang w:val="fr-CA"/>
              </w:rPr>
              <w:t> h </w:t>
            </w:r>
            <w:r w:rsidRPr="004A6106">
              <w:rPr>
                <w:lang w:val="fr-CA"/>
              </w:rPr>
              <w:t>40</w:t>
            </w:r>
          </w:p>
          <w:p w14:paraId="235BEBAC" w14:textId="77777777" w:rsidR="006D6CC6" w:rsidRPr="004A6106" w:rsidRDefault="006D6CC6" w:rsidP="00131794">
            <w:pPr>
              <w:pStyle w:val="MeetingTimes"/>
              <w:spacing w:before="0" w:after="120"/>
              <w:rPr>
                <w:lang w:val="fr-CA"/>
              </w:rPr>
            </w:pPr>
          </w:p>
        </w:tc>
        <w:tc>
          <w:tcPr>
            <w:tcW w:w="5748" w:type="dxa"/>
          </w:tcPr>
          <w:p w14:paraId="234201BD" w14:textId="3CE14A4E" w:rsidR="006D6CC6" w:rsidRPr="004A6106" w:rsidRDefault="00820838" w:rsidP="00131794">
            <w:pPr>
              <w:pStyle w:val="ItemDescription"/>
              <w:spacing w:before="0" w:after="80"/>
              <w:ind w:right="357"/>
              <w:rPr>
                <w:lang w:val="fr-CA"/>
              </w:rPr>
            </w:pPr>
            <w:r w:rsidRPr="004A6106">
              <w:rPr>
                <w:lang w:val="fr-CA"/>
              </w:rPr>
              <w:t xml:space="preserve">Dispositions transitoires </w:t>
            </w:r>
            <w:r w:rsidRPr="00F73431">
              <w:rPr>
                <w:sz w:val="20"/>
                <w:szCs w:val="16"/>
                <w:lang w:val="fr-CA"/>
              </w:rPr>
              <w:t>(thème 12)</w:t>
            </w:r>
          </w:p>
        </w:tc>
      </w:tr>
      <w:tr w:rsidR="006F4A12" w:rsidRPr="004A6106" w14:paraId="74DCDE99" w14:textId="77777777" w:rsidTr="00131794">
        <w:trPr>
          <w:trHeight w:val="80"/>
          <w:jc w:val="center"/>
        </w:trPr>
        <w:tc>
          <w:tcPr>
            <w:tcW w:w="549" w:type="dxa"/>
          </w:tcPr>
          <w:p w14:paraId="3BC880B8" w14:textId="77777777" w:rsidR="006D6CC6" w:rsidRPr="004A6106" w:rsidRDefault="006D6CC6" w:rsidP="00131794">
            <w:pPr>
              <w:spacing w:after="120"/>
              <w:rPr>
                <w:lang w:val="fr-CA"/>
              </w:rPr>
            </w:pPr>
          </w:p>
        </w:tc>
        <w:tc>
          <w:tcPr>
            <w:tcW w:w="2338" w:type="dxa"/>
          </w:tcPr>
          <w:p w14:paraId="15FEE7AA" w14:textId="503B2E96" w:rsidR="006D6CC6" w:rsidRPr="004A6106" w:rsidRDefault="00CC46AF" w:rsidP="00131794">
            <w:pPr>
              <w:pStyle w:val="MeetingTimes"/>
              <w:spacing w:before="0" w:after="120"/>
              <w:rPr>
                <w:lang w:val="fr-CA"/>
              </w:rPr>
            </w:pPr>
            <w:r w:rsidRPr="004A6106">
              <w:rPr>
                <w:lang w:val="fr-CA"/>
              </w:rPr>
              <w:t>12</w:t>
            </w:r>
            <w:r w:rsidR="00F85551" w:rsidRPr="004A6106">
              <w:rPr>
                <w:lang w:val="fr-CA"/>
              </w:rPr>
              <w:t> h </w:t>
            </w:r>
            <w:r w:rsidRPr="004A6106">
              <w:rPr>
                <w:lang w:val="fr-CA"/>
              </w:rPr>
              <w:t xml:space="preserve">40 </w:t>
            </w:r>
            <w:r w:rsidR="00F85551" w:rsidRPr="004A6106">
              <w:rPr>
                <w:lang w:val="fr-CA"/>
              </w:rPr>
              <w:t>à</w:t>
            </w:r>
            <w:r w:rsidRPr="004A6106">
              <w:rPr>
                <w:lang w:val="fr-CA"/>
              </w:rPr>
              <w:t xml:space="preserve"> 13</w:t>
            </w:r>
            <w:r w:rsidR="00F85551" w:rsidRPr="004A6106">
              <w:rPr>
                <w:lang w:val="fr-CA"/>
              </w:rPr>
              <w:t> h</w:t>
            </w:r>
          </w:p>
        </w:tc>
        <w:tc>
          <w:tcPr>
            <w:tcW w:w="5748" w:type="dxa"/>
          </w:tcPr>
          <w:p w14:paraId="6F0A2FE9" w14:textId="2C6C702D" w:rsidR="006D6CC6" w:rsidRPr="004A6106" w:rsidRDefault="006945BB" w:rsidP="00131794">
            <w:pPr>
              <w:pStyle w:val="ItemDescription"/>
              <w:spacing w:before="0"/>
              <w:rPr>
                <w:lang w:val="fr-CA"/>
              </w:rPr>
            </w:pPr>
            <w:r w:rsidRPr="004A6106">
              <w:rPr>
                <w:lang w:val="fr-CA"/>
              </w:rPr>
              <w:t>Récapitulation et prochaines étapes</w:t>
            </w:r>
          </w:p>
        </w:tc>
      </w:tr>
    </w:tbl>
    <w:p w14:paraId="58549595" w14:textId="77777777" w:rsidR="006D6CC6" w:rsidRPr="004A6106" w:rsidRDefault="006D6CC6" w:rsidP="00BD10E9">
      <w:pPr>
        <w:jc w:val="both"/>
        <w:rPr>
          <w:rFonts w:ascii="Times New Roman" w:hAnsi="Times New Roman" w:cs="Times New Roman"/>
          <w:shd w:val="clear" w:color="auto" w:fill="FFFFFF"/>
          <w:lang w:val="fr-CA"/>
        </w:rPr>
      </w:pPr>
    </w:p>
    <w:bookmarkEnd w:id="31"/>
    <w:p w14:paraId="65D42C28" w14:textId="77777777" w:rsidR="006D6CC6" w:rsidRPr="004A6106" w:rsidRDefault="006D6CC6" w:rsidP="00BD10E9">
      <w:pPr>
        <w:rPr>
          <w:lang w:val="fr-CA"/>
        </w:rPr>
      </w:pPr>
    </w:p>
    <w:sectPr w:rsidR="006D6CC6" w:rsidRPr="004A6106" w:rsidSect="00FC52B0">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8F83" w14:textId="77777777" w:rsidR="00FD5A77" w:rsidRDefault="00FD5A77">
      <w:pPr>
        <w:spacing w:after="0" w:line="240" w:lineRule="auto"/>
      </w:pPr>
      <w:r>
        <w:separator/>
      </w:r>
    </w:p>
  </w:endnote>
  <w:endnote w:type="continuationSeparator" w:id="0">
    <w:p w14:paraId="09B6F9F4" w14:textId="77777777" w:rsidR="00FD5A77" w:rsidRDefault="00FD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7CB6" w14:textId="77777777" w:rsidR="004610F9" w:rsidRDefault="00461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E126" w14:textId="77777777" w:rsidR="004610F9" w:rsidRDefault="00461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2C29" w14:textId="77777777" w:rsidR="006D6CC6" w:rsidRPr="007204E0" w:rsidRDefault="006D6CC6">
    <w:pPr>
      <w:pStyle w:val="Footer"/>
    </w:pPr>
  </w:p>
  <w:p w14:paraId="022302AE" w14:textId="77777777" w:rsidR="006D6CC6" w:rsidRDefault="006D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B063" w14:textId="77777777" w:rsidR="00FD5A77" w:rsidRDefault="00FD5A77">
      <w:pPr>
        <w:spacing w:after="0"/>
      </w:pPr>
      <w:r>
        <w:separator/>
      </w:r>
    </w:p>
  </w:footnote>
  <w:footnote w:type="continuationSeparator" w:id="0">
    <w:p w14:paraId="59678630" w14:textId="77777777" w:rsidR="00FD5A77" w:rsidRDefault="00FD5A77">
      <w:pPr>
        <w:spacing w:after="0"/>
      </w:pPr>
      <w:r>
        <w:continuationSeparator/>
      </w:r>
    </w:p>
  </w:footnote>
  <w:footnote w:id="1">
    <w:p w14:paraId="6D84E707" w14:textId="285DC00D" w:rsidR="006D6CC6" w:rsidRPr="00F73431" w:rsidRDefault="00CC46AF" w:rsidP="00BD10E9">
      <w:pPr>
        <w:pStyle w:val="FootnoteText"/>
        <w:rPr>
          <w:lang w:val="fr-CA"/>
        </w:rPr>
      </w:pPr>
      <w:r w:rsidRPr="00F73431">
        <w:rPr>
          <w:rStyle w:val="FootnoteReference"/>
          <w:lang w:val="fr-CA"/>
        </w:rPr>
        <w:footnoteRef/>
      </w:r>
      <w:r w:rsidRPr="00F73431">
        <w:rPr>
          <w:lang w:val="fr-CA"/>
        </w:rPr>
        <w:t xml:space="preserve"> </w:t>
      </w:r>
      <w:bookmarkStart w:id="1" w:name="lt_pId346"/>
      <w:r w:rsidR="0080437D" w:rsidRPr="00F73431">
        <w:rPr>
          <w:lang w:val="fr-CA"/>
        </w:rPr>
        <w:t>La</w:t>
      </w:r>
      <w:r w:rsidR="00D46B59" w:rsidRPr="00F73431">
        <w:rPr>
          <w:lang w:val="fr-CA"/>
        </w:rPr>
        <w:t xml:space="preserve"> </w:t>
      </w:r>
      <w:r w:rsidR="0080437D" w:rsidRPr="00F73431">
        <w:rPr>
          <w:lang w:val="fr-CA"/>
        </w:rPr>
        <w:t>réglementation fondée sur le rendement, aussi connue sous le titre de réglementation fondée sur les résultats, précise les objectifs ou les résultats exigés plutôt que le moyen de les atteindre</w:t>
      </w:r>
      <w:bookmarkEnd w:id="1"/>
      <w:r w:rsidRPr="00F73431">
        <w:rPr>
          <w:lang w:val="fr-CA"/>
        </w:rPr>
        <w:t xml:space="preserve"> </w:t>
      </w:r>
      <w:bookmarkStart w:id="2" w:name="lt_pId347"/>
      <w:r w:rsidR="009163C6" w:rsidRPr="00F73431">
        <w:rPr>
          <w:lang w:val="fr-CA"/>
        </w:rPr>
        <w:t>(</w:t>
      </w:r>
      <w:hyperlink r:id="rId1" w:history="1">
        <w:r w:rsidR="009163C6" w:rsidRPr="00F73431">
          <w:rPr>
            <w:rStyle w:val="Hyperlink"/>
            <w:i/>
            <w:iCs/>
            <w:sz w:val="20"/>
            <w:lang w:val="fr-CA"/>
          </w:rPr>
          <w:t>Politique sur l’élaboration de la réglementation</w:t>
        </w:r>
      </w:hyperlink>
      <w:r w:rsidR="009163C6" w:rsidRPr="00F73431">
        <w:rPr>
          <w:lang w:val="fr-CA"/>
        </w:rPr>
        <w:t>).</w:t>
      </w:r>
      <w:bookmarkEnd w:id="2"/>
    </w:p>
  </w:footnote>
  <w:footnote w:id="2">
    <w:p w14:paraId="048EB5AB" w14:textId="6DC443BC" w:rsidR="006D6CC6" w:rsidRPr="00F73431" w:rsidRDefault="00CC46AF">
      <w:pPr>
        <w:pStyle w:val="FootnoteText"/>
        <w:rPr>
          <w:lang w:val="fr-CA"/>
        </w:rPr>
      </w:pPr>
      <w:r w:rsidRPr="00F73431">
        <w:rPr>
          <w:rStyle w:val="FootnoteReference"/>
          <w:lang w:val="fr-CA"/>
        </w:rPr>
        <w:footnoteRef/>
      </w:r>
      <w:r w:rsidRPr="00F73431">
        <w:rPr>
          <w:lang w:val="fr-CA"/>
        </w:rPr>
        <w:t xml:space="preserve"> </w:t>
      </w:r>
      <w:bookmarkStart w:id="3" w:name="lt_pId348"/>
      <w:r w:rsidR="00367C37" w:rsidRPr="00F73431">
        <w:rPr>
          <w:lang w:val="fr-CA"/>
        </w:rPr>
        <w:t>Il n’a pas été question du rapport entre les coûts et les avantages pendant cet atelier.</w:t>
      </w:r>
      <w:bookmarkEnd w:id="3"/>
      <w:r w:rsidRPr="00F73431">
        <w:rPr>
          <w:lang w:val="fr-CA"/>
        </w:rPr>
        <w:t xml:space="preserve"> </w:t>
      </w:r>
      <w:bookmarkStart w:id="4" w:name="lt_pId349"/>
      <w:r w:rsidR="00E20FC5" w:rsidRPr="00F73431">
        <w:rPr>
          <w:lang w:val="fr-CA"/>
        </w:rPr>
        <w:t>La CCSN participera à d’autres discussions avec les parties intéressées à ce sujet ultérieurement.</w:t>
      </w:r>
      <w:bookmarkEnd w:id="4"/>
    </w:p>
  </w:footnote>
  <w:footnote w:id="3">
    <w:p w14:paraId="1E9FD7E7" w14:textId="60638DD9" w:rsidR="006D6CC6" w:rsidRPr="00F73431" w:rsidRDefault="00CC46AF" w:rsidP="00BD10E9">
      <w:pPr>
        <w:pStyle w:val="FootnoteText"/>
        <w:rPr>
          <w:lang w:val="fr-CA"/>
        </w:rPr>
      </w:pPr>
      <w:r w:rsidRPr="00F73431">
        <w:rPr>
          <w:rStyle w:val="FootnoteReference"/>
          <w:lang w:val="fr-CA"/>
        </w:rPr>
        <w:footnoteRef/>
      </w:r>
      <w:r w:rsidRPr="00F73431">
        <w:rPr>
          <w:lang w:val="fr-CA"/>
        </w:rPr>
        <w:t xml:space="preserve"> </w:t>
      </w:r>
      <w:bookmarkStart w:id="5" w:name="lt_pId351"/>
      <w:r w:rsidR="00CE35A5" w:rsidRPr="00F73431">
        <w:rPr>
          <w:lang w:val="fr-CA"/>
        </w:rPr>
        <w:t xml:space="preserve">280, rue Slater, Ottawa (Ontario), Canada, K1P 5S9, </w:t>
      </w:r>
      <w:hyperlink r:id="rId2" w:history="1">
        <w:r w:rsidR="00CE35A5" w:rsidRPr="00F73431">
          <w:rPr>
            <w:rStyle w:val="Hyperlink"/>
            <w:sz w:val="20"/>
            <w:lang w:val="fr-CA"/>
          </w:rPr>
          <w:t>Commission canadienne de sûreté nucléaire</w:t>
        </w:r>
      </w:hyperlink>
      <w:bookmarkEnd w:id="5"/>
      <w:r w:rsidR="003B6B58" w:rsidRPr="00F73431">
        <w:rPr>
          <w:lang w:val="fr-CA"/>
        </w:rPr>
        <w:t>.</w:t>
      </w:r>
    </w:p>
  </w:footnote>
  <w:footnote w:id="4">
    <w:p w14:paraId="3643530E" w14:textId="4FD605B2" w:rsidR="004A6106" w:rsidRDefault="00CC46AF" w:rsidP="00A80883">
      <w:pPr>
        <w:pStyle w:val="BodyText"/>
        <w:spacing w:after="0"/>
        <w:ind w:left="0"/>
        <w:rPr>
          <w:rStyle w:val="Hyperlink"/>
          <w:color w:val="auto"/>
          <w:sz w:val="20"/>
          <w:szCs w:val="20"/>
          <w:u w:val="none"/>
          <w:lang w:val="fr-CA"/>
        </w:rPr>
      </w:pPr>
      <w:r w:rsidRPr="00F73431">
        <w:rPr>
          <w:rStyle w:val="FootnoteReference"/>
          <w:lang w:val="fr-CA"/>
        </w:rPr>
        <w:footnoteRef/>
      </w:r>
      <w:r w:rsidRPr="00F73431">
        <w:rPr>
          <w:sz w:val="20"/>
          <w:szCs w:val="20"/>
          <w:lang w:val="fr-CA"/>
        </w:rPr>
        <w:t xml:space="preserve"> </w:t>
      </w:r>
      <w:bookmarkStart w:id="6" w:name="lt_pId352"/>
      <w:r w:rsidR="003B6B58" w:rsidRPr="00F73431">
        <w:rPr>
          <w:sz w:val="20"/>
          <w:szCs w:val="20"/>
          <w:lang w:val="fr-CA"/>
        </w:rPr>
        <w:t>Les parties intéressées des SSE se conforment actuellement à la norme de l’Association canadienne de normalisation (CSA) </w:t>
      </w:r>
      <w:hyperlink r:id="rId3" w:history="1">
        <w:r w:rsidR="003B6B58" w:rsidRPr="00F73431">
          <w:rPr>
            <w:rStyle w:val="Hyperlink"/>
            <w:sz w:val="20"/>
            <w:szCs w:val="20"/>
            <w:lang w:val="fr-CA"/>
          </w:rPr>
          <w:t xml:space="preserve">N290.7, </w:t>
        </w:r>
        <w:r w:rsidR="003B6B58" w:rsidRPr="00F73431">
          <w:rPr>
            <w:rStyle w:val="Hyperlink"/>
            <w:i/>
            <w:iCs/>
            <w:sz w:val="20"/>
            <w:szCs w:val="20"/>
            <w:lang w:val="fr-CA"/>
          </w:rPr>
          <w:t>Cybersécurité pour les centrales nucléaires et les installations dotées de petits</w:t>
        </w:r>
        <w:r w:rsidR="003B6B58" w:rsidRPr="00F73431">
          <w:rPr>
            <w:rStyle w:val="Hyperlink"/>
            <w:sz w:val="20"/>
            <w:szCs w:val="20"/>
            <w:lang w:val="fr-CA"/>
          </w:rPr>
          <w:t xml:space="preserve"> </w:t>
        </w:r>
        <w:r w:rsidR="003B6B58" w:rsidRPr="00F73431">
          <w:rPr>
            <w:rStyle w:val="Hyperlink"/>
            <w:i/>
            <w:iCs/>
            <w:sz w:val="20"/>
            <w:szCs w:val="20"/>
            <w:lang w:val="fr-CA"/>
          </w:rPr>
          <w:t>réacteurs</w:t>
        </w:r>
        <w:r w:rsidR="003B6B58" w:rsidRPr="00F73431">
          <w:rPr>
            <w:rStyle w:val="Hyperlink"/>
            <w:color w:val="auto"/>
            <w:sz w:val="20"/>
            <w:szCs w:val="20"/>
            <w:u w:val="none"/>
            <w:lang w:val="fr-CA"/>
          </w:rPr>
          <w:t>.</w:t>
        </w:r>
      </w:hyperlink>
      <w:bookmarkEnd w:id="6"/>
    </w:p>
    <w:p w14:paraId="25A484EB" w14:textId="77777777" w:rsidR="00CC46AF" w:rsidRPr="00F73431" w:rsidRDefault="00CC46AF" w:rsidP="00A80883">
      <w:pPr>
        <w:pStyle w:val="BodyText"/>
        <w:spacing w:after="0"/>
        <w:ind w:left="0"/>
        <w:rPr>
          <w:sz w:val="20"/>
          <w:szCs w:val="20"/>
          <w:lang w:val="fr-CA"/>
        </w:rPr>
      </w:pPr>
    </w:p>
  </w:footnote>
  <w:footnote w:id="5">
    <w:p w14:paraId="7222F815" w14:textId="5C189CE4" w:rsidR="006D6CC6" w:rsidRPr="00F73431" w:rsidRDefault="00CC46AF" w:rsidP="00A80883">
      <w:pPr>
        <w:pStyle w:val="FootnoteText"/>
        <w:rPr>
          <w:lang w:val="fr-CA"/>
        </w:rPr>
      </w:pPr>
      <w:r w:rsidRPr="00F73431">
        <w:rPr>
          <w:rStyle w:val="FootnoteReference"/>
          <w:lang w:val="fr-CA"/>
        </w:rPr>
        <w:footnoteRef/>
      </w:r>
      <w:r w:rsidRPr="00F73431">
        <w:rPr>
          <w:lang w:val="fr-CA"/>
        </w:rPr>
        <w:t xml:space="preserve"> </w:t>
      </w:r>
      <w:r w:rsidR="00AE7D3B" w:rsidRPr="00F73431">
        <w:rPr>
          <w:b/>
          <w:bCs/>
          <w:lang w:val="fr-CA"/>
        </w:rPr>
        <w:t>16</w:t>
      </w:r>
      <w:r w:rsidR="00AE7D3B" w:rsidRPr="00F73431">
        <w:rPr>
          <w:lang w:val="fr-CA"/>
        </w:rPr>
        <w:t xml:space="preserve"> </w:t>
      </w:r>
      <w:r w:rsidRPr="00F73431">
        <w:rPr>
          <w:b/>
          <w:bCs/>
          <w:lang w:val="fr-CA"/>
        </w:rPr>
        <w:t>(2)</w:t>
      </w:r>
      <w:r w:rsidRPr="00F73431">
        <w:rPr>
          <w:lang w:val="fr-CA"/>
        </w:rPr>
        <w:t> </w:t>
      </w:r>
      <w:bookmarkStart w:id="7" w:name="lt_pId354"/>
      <w:r w:rsidR="00A80883" w:rsidRPr="00F73431">
        <w:rPr>
          <w:lang w:val="fr-CA"/>
        </w:rPr>
        <w:t xml:space="preserve">Il protège les systèmes informatiques et les composants électroniques de l’installation nucléaire contre les menaces à la cybersécurité qui ont été cernées par suite de l’évaluation de la menace et du risque, lorsque la possibilité que ces systèmes et composants soient compromis pourrait </w:t>
      </w:r>
      <w:proofErr w:type="gramStart"/>
      <w:r w:rsidR="00A80883" w:rsidRPr="00F73431">
        <w:rPr>
          <w:lang w:val="fr-CA"/>
        </w:rPr>
        <w:t>avoir</w:t>
      </w:r>
      <w:proofErr w:type="gramEnd"/>
      <w:r w:rsidR="00A80883" w:rsidRPr="00F73431">
        <w:rPr>
          <w:lang w:val="fr-CA"/>
        </w:rPr>
        <w:t xml:space="preserve"> des conséquences néfastes sur les fonctions suivantes :</w:t>
      </w:r>
      <w:bookmarkEnd w:id="7"/>
    </w:p>
    <w:p w14:paraId="42943F08" w14:textId="09C9E3BF" w:rsidR="006D6CC6" w:rsidRPr="00F73431" w:rsidRDefault="00CC6258" w:rsidP="00BD10E9">
      <w:pPr>
        <w:pStyle w:val="FootnoteText"/>
        <w:numPr>
          <w:ilvl w:val="0"/>
          <w:numId w:val="20"/>
        </w:numPr>
        <w:rPr>
          <w:lang w:val="fr-CA"/>
        </w:rPr>
      </w:pPr>
      <w:bookmarkStart w:id="8" w:name="lt_pId355"/>
      <w:r w:rsidRPr="00F73431">
        <w:rPr>
          <w:b/>
          <w:bCs/>
          <w:lang w:val="fr-CA"/>
        </w:rPr>
        <w:t xml:space="preserve">a) </w:t>
      </w:r>
      <w:r w:rsidRPr="00F73431">
        <w:rPr>
          <w:lang w:val="fr-CA"/>
        </w:rPr>
        <w:t>la sûreté nucléaire;</w:t>
      </w:r>
      <w:bookmarkEnd w:id="8"/>
    </w:p>
    <w:p w14:paraId="4C42E40E" w14:textId="115741C3" w:rsidR="006D6CC6" w:rsidRPr="00F73431" w:rsidRDefault="00B06041" w:rsidP="00BD10E9">
      <w:pPr>
        <w:pStyle w:val="FootnoteText"/>
        <w:numPr>
          <w:ilvl w:val="0"/>
          <w:numId w:val="20"/>
        </w:numPr>
        <w:rPr>
          <w:lang w:val="fr-CA"/>
        </w:rPr>
      </w:pPr>
      <w:bookmarkStart w:id="9" w:name="lt_pId356"/>
      <w:r w:rsidRPr="00F73431">
        <w:rPr>
          <w:b/>
          <w:bCs/>
          <w:lang w:val="fr-CA"/>
        </w:rPr>
        <w:t xml:space="preserve">b) </w:t>
      </w:r>
      <w:r w:rsidRPr="00F73431">
        <w:rPr>
          <w:lang w:val="fr-CA"/>
        </w:rPr>
        <w:t>la sécurité nucléaire;</w:t>
      </w:r>
      <w:bookmarkEnd w:id="9"/>
    </w:p>
    <w:p w14:paraId="3D33D83C" w14:textId="195CF73D" w:rsidR="006D6CC6" w:rsidRPr="00F73431" w:rsidRDefault="00E05779" w:rsidP="00BD10E9">
      <w:pPr>
        <w:pStyle w:val="FootnoteText"/>
        <w:numPr>
          <w:ilvl w:val="0"/>
          <w:numId w:val="20"/>
        </w:numPr>
        <w:rPr>
          <w:lang w:val="fr-CA"/>
        </w:rPr>
      </w:pPr>
      <w:bookmarkStart w:id="10" w:name="lt_pId357"/>
      <w:r w:rsidRPr="00F73431">
        <w:rPr>
          <w:b/>
          <w:bCs/>
          <w:lang w:val="fr-CA"/>
        </w:rPr>
        <w:t xml:space="preserve">c) </w:t>
      </w:r>
      <w:r w:rsidRPr="00F73431">
        <w:rPr>
          <w:lang w:val="fr-CA"/>
        </w:rPr>
        <w:t>la préparation et la réponse aux situations d’urgence;</w:t>
      </w:r>
      <w:bookmarkEnd w:id="10"/>
    </w:p>
    <w:p w14:paraId="08FB45E6" w14:textId="152D99D4" w:rsidR="006D6CC6" w:rsidRPr="00F73431" w:rsidRDefault="0068277B" w:rsidP="00BD10E9">
      <w:pPr>
        <w:pStyle w:val="FootnoteText"/>
        <w:numPr>
          <w:ilvl w:val="0"/>
          <w:numId w:val="20"/>
        </w:numPr>
        <w:rPr>
          <w:lang w:val="fr-CA"/>
        </w:rPr>
      </w:pPr>
      <w:bookmarkStart w:id="11" w:name="lt_pId358"/>
      <w:r w:rsidRPr="00F73431">
        <w:rPr>
          <w:b/>
          <w:bCs/>
          <w:lang w:val="fr-CA"/>
        </w:rPr>
        <w:t xml:space="preserve">d) </w:t>
      </w:r>
      <w:r w:rsidRPr="00F73431">
        <w:rPr>
          <w:lang w:val="fr-CA"/>
        </w:rPr>
        <w:t xml:space="preserve">les </w:t>
      </w:r>
      <w:r w:rsidRPr="00F73431">
        <w:rPr>
          <w:i/>
          <w:iCs/>
          <w:lang w:val="fr-CA"/>
        </w:rPr>
        <w:t>garanties</w:t>
      </w:r>
      <w:r w:rsidRPr="00F73431">
        <w:rPr>
          <w:lang w:val="fr-CA"/>
        </w:rPr>
        <w:t xml:space="preserve"> au sens de l’article 1 du </w:t>
      </w:r>
      <w:r w:rsidRPr="00F73431">
        <w:rPr>
          <w:i/>
          <w:iCs/>
          <w:lang w:val="fr-CA"/>
        </w:rPr>
        <w:t>Règlement général sur la sûreté et la réglementation nucléaires</w:t>
      </w:r>
      <w:r w:rsidRPr="00F73431">
        <w:rPr>
          <w:lang w:val="fr-CA"/>
        </w:rPr>
        <w:t xml:space="preserve"> et les activités de comptabilité des matières nucléaires;</w:t>
      </w:r>
      <w:bookmarkEnd w:id="11"/>
    </w:p>
    <w:p w14:paraId="06CCA512" w14:textId="734D83D2" w:rsidR="006D6CC6" w:rsidRPr="00F73431" w:rsidRDefault="00440F45" w:rsidP="00BD10E9">
      <w:pPr>
        <w:pStyle w:val="FootnoteText"/>
        <w:numPr>
          <w:ilvl w:val="0"/>
          <w:numId w:val="20"/>
        </w:numPr>
        <w:rPr>
          <w:lang w:val="fr-CA"/>
        </w:rPr>
      </w:pPr>
      <w:bookmarkStart w:id="12" w:name="lt_pId359"/>
      <w:r w:rsidRPr="00F73431">
        <w:rPr>
          <w:b/>
          <w:bCs/>
          <w:lang w:val="fr-CA"/>
        </w:rPr>
        <w:t xml:space="preserve">e) </w:t>
      </w:r>
      <w:r w:rsidRPr="00F73431">
        <w:rPr>
          <w:lang w:val="fr-CA"/>
        </w:rPr>
        <w:t>les systèmes qui appuient les fonctions prévues aux alinéas a) à d).</w:t>
      </w:r>
      <w:bookmarkEnd w:id="12"/>
    </w:p>
  </w:footnote>
  <w:footnote w:id="6">
    <w:p w14:paraId="73E5676C" w14:textId="7D254BBB" w:rsidR="006D6CC6" w:rsidRPr="00F73431" w:rsidRDefault="00CC46AF" w:rsidP="00BD10E9">
      <w:pPr>
        <w:pStyle w:val="FootnoteText"/>
        <w:rPr>
          <w:lang w:val="fr-CA"/>
        </w:rPr>
      </w:pPr>
      <w:r w:rsidRPr="00F73431">
        <w:rPr>
          <w:rStyle w:val="FootnoteReference"/>
          <w:lang w:val="fr-CA"/>
        </w:rPr>
        <w:footnoteRef/>
      </w:r>
      <w:r w:rsidRPr="00F73431">
        <w:rPr>
          <w:lang w:val="fr-CA"/>
        </w:rPr>
        <w:t xml:space="preserve"> </w:t>
      </w:r>
      <w:bookmarkStart w:id="13" w:name="lt_pId360"/>
      <w:r w:rsidR="00F86528" w:rsidRPr="00F73431">
        <w:rPr>
          <w:lang w:val="fr-CA"/>
        </w:rPr>
        <w:t xml:space="preserve">Ils sont définis au paragraphe 21(1) du </w:t>
      </w:r>
      <w:hyperlink r:id="rId4" w:anchor="h-645192" w:history="1">
        <w:r w:rsidR="00F86528" w:rsidRPr="00F73431">
          <w:rPr>
            <w:rStyle w:val="Hyperlink"/>
            <w:i/>
            <w:iCs/>
            <w:sz w:val="20"/>
            <w:lang w:val="fr-CA"/>
          </w:rPr>
          <w:t>Règlement général sur la sûreté et la réglementation nucléaires</w:t>
        </w:r>
      </w:hyperlink>
      <w:r w:rsidR="00F86528" w:rsidRPr="00F73431">
        <w:rPr>
          <w:lang w:val="fr-CA"/>
        </w:rPr>
        <w:t xml:space="preserve"> (</w:t>
      </w:r>
      <w:r w:rsidR="00AB785D" w:rsidRPr="00F73431">
        <w:rPr>
          <w:lang w:val="fr-CA"/>
        </w:rPr>
        <w:t>DORS</w:t>
      </w:r>
      <w:r w:rsidR="00F86528" w:rsidRPr="00F73431">
        <w:rPr>
          <w:lang w:val="fr-CA"/>
        </w:rPr>
        <w:t>/2000-202).</w:t>
      </w:r>
      <w:bookmarkEnd w:id="13"/>
    </w:p>
  </w:footnote>
  <w:footnote w:id="7">
    <w:p w14:paraId="42BD89CE" w14:textId="1C10E02B" w:rsidR="006D6CC6" w:rsidRPr="00F73431" w:rsidRDefault="00CC46AF" w:rsidP="00BD10E9">
      <w:pPr>
        <w:pStyle w:val="FootnoteText"/>
        <w:rPr>
          <w:lang w:val="fr-CA"/>
        </w:rPr>
      </w:pPr>
      <w:r w:rsidRPr="00F73431">
        <w:rPr>
          <w:rStyle w:val="FootnoteReference"/>
          <w:lang w:val="fr-CA"/>
        </w:rPr>
        <w:footnoteRef/>
      </w:r>
      <w:r w:rsidRPr="00F73431">
        <w:rPr>
          <w:lang w:val="fr-CA"/>
        </w:rPr>
        <w:t xml:space="preserve"> </w:t>
      </w:r>
      <w:hyperlink r:id="rId5" w:history="1">
        <w:bookmarkStart w:id="14" w:name="lt_pId361"/>
        <w:r w:rsidRPr="00F73431">
          <w:rPr>
            <w:rStyle w:val="Hyperlink"/>
            <w:sz w:val="20"/>
            <w:lang w:val="fr-CA"/>
          </w:rPr>
          <w:t xml:space="preserve">IAEA Nuclear </w:t>
        </w:r>
        <w:proofErr w:type="spellStart"/>
        <w:r w:rsidRPr="00F73431">
          <w:rPr>
            <w:rStyle w:val="Hyperlink"/>
            <w:sz w:val="20"/>
            <w:lang w:val="fr-CA"/>
          </w:rPr>
          <w:t>Safety</w:t>
        </w:r>
        <w:proofErr w:type="spellEnd"/>
        <w:r w:rsidRPr="00F73431">
          <w:rPr>
            <w:rStyle w:val="Hyperlink"/>
            <w:sz w:val="20"/>
            <w:lang w:val="fr-CA"/>
          </w:rPr>
          <w:t xml:space="preserve"> and Security </w:t>
        </w:r>
        <w:proofErr w:type="spellStart"/>
        <w:r w:rsidRPr="00F73431">
          <w:rPr>
            <w:rStyle w:val="Hyperlink"/>
            <w:sz w:val="20"/>
            <w:lang w:val="fr-CA"/>
          </w:rPr>
          <w:t>Glossary</w:t>
        </w:r>
        <w:bookmarkEnd w:id="14"/>
        <w:proofErr w:type="spellEnd"/>
      </w:hyperlink>
      <w:r w:rsidR="00AB785D" w:rsidRPr="00F73431">
        <w:rPr>
          <w:rStyle w:val="Hyperlink"/>
          <w:sz w:val="20"/>
          <w:lang w:val="fr-CA"/>
        </w:rPr>
        <w:t xml:space="preserve"> </w:t>
      </w:r>
      <w:r w:rsidR="00AB785D" w:rsidRPr="00F73431">
        <w:rPr>
          <w:lang w:val="fr-CA"/>
        </w:rPr>
        <w:t>[en anglais seulement]</w:t>
      </w:r>
      <w:r w:rsidR="00D46B59" w:rsidRPr="00F73431">
        <w:rPr>
          <w:lang w:val="fr-CA"/>
        </w:rPr>
        <w:t>.</w:t>
      </w:r>
    </w:p>
  </w:footnote>
  <w:footnote w:id="8">
    <w:p w14:paraId="7C5C6924" w14:textId="289EAB9C" w:rsidR="006D6CC6" w:rsidRPr="00F73431" w:rsidRDefault="00CC46AF" w:rsidP="00BD10E9">
      <w:pPr>
        <w:pStyle w:val="FootnoteText"/>
        <w:rPr>
          <w:lang w:val="fr-CA"/>
        </w:rPr>
      </w:pPr>
      <w:r w:rsidRPr="00F73431">
        <w:rPr>
          <w:rStyle w:val="FootnoteReference"/>
          <w:lang w:val="fr-CA"/>
        </w:rPr>
        <w:footnoteRef/>
      </w:r>
      <w:r w:rsidRPr="00F73431">
        <w:rPr>
          <w:lang w:val="fr-CA"/>
        </w:rPr>
        <w:t xml:space="preserve"> </w:t>
      </w:r>
      <w:bookmarkStart w:id="15" w:name="lt_pId362"/>
      <w:r w:rsidR="00212051" w:rsidRPr="00F73431">
        <w:rPr>
          <w:lang w:val="fr-CA"/>
        </w:rPr>
        <w:t>Les renseignements</w:t>
      </w:r>
      <w:r w:rsidR="00AB785D" w:rsidRPr="00F73431">
        <w:rPr>
          <w:lang w:val="fr-CA"/>
        </w:rPr>
        <w:t xml:space="preserve"> comme les renseignements personnels ou les renseignements financiers des employés du titulaire de permis n’étai</w:t>
      </w:r>
      <w:r w:rsidR="00212051" w:rsidRPr="00F73431">
        <w:rPr>
          <w:lang w:val="fr-CA"/>
        </w:rPr>
        <w:t>en</w:t>
      </w:r>
      <w:r w:rsidR="00AB785D" w:rsidRPr="00F73431">
        <w:rPr>
          <w:lang w:val="fr-CA"/>
        </w:rPr>
        <w:t>t pas assujetti</w:t>
      </w:r>
      <w:r w:rsidR="00212051" w:rsidRPr="00F73431">
        <w:rPr>
          <w:lang w:val="fr-CA"/>
        </w:rPr>
        <w:t>s</w:t>
      </w:r>
      <w:r w:rsidR="00AB785D" w:rsidRPr="00F73431">
        <w:rPr>
          <w:lang w:val="fr-CA"/>
        </w:rPr>
        <w:t xml:space="preserve"> à cette exigence.</w:t>
      </w:r>
      <w:bookmarkEnd w:id="15"/>
    </w:p>
  </w:footnote>
  <w:footnote w:id="9">
    <w:p w14:paraId="003A8AF6" w14:textId="5774480D" w:rsidR="006D6CC6" w:rsidRPr="00F73431" w:rsidRDefault="00CC46AF" w:rsidP="00BD10E9">
      <w:pPr>
        <w:pStyle w:val="FootnoteText"/>
        <w:rPr>
          <w:lang w:val="fr-CA"/>
        </w:rPr>
      </w:pPr>
      <w:r w:rsidRPr="00F73431">
        <w:rPr>
          <w:rStyle w:val="FootnoteReference"/>
          <w:lang w:val="fr-CA"/>
        </w:rPr>
        <w:footnoteRef/>
      </w:r>
      <w:r w:rsidRPr="00F73431">
        <w:rPr>
          <w:lang w:val="fr-CA"/>
        </w:rPr>
        <w:t xml:space="preserve"> </w:t>
      </w:r>
      <w:bookmarkStart w:id="16" w:name="lt_pId363"/>
      <w:r w:rsidR="006432E0" w:rsidRPr="00F73431">
        <w:rPr>
          <w:lang w:val="fr-CA"/>
        </w:rPr>
        <w:t>Pour de plus amples renseignements sur l</w:t>
      </w:r>
      <w:r w:rsidR="00B26A31" w:rsidRPr="00F73431">
        <w:rPr>
          <w:lang w:val="fr-CA"/>
        </w:rPr>
        <w:t xml:space="preserve">’approche tenant compte </w:t>
      </w:r>
      <w:r w:rsidR="006432E0" w:rsidRPr="00F73431">
        <w:rPr>
          <w:lang w:val="fr-CA"/>
        </w:rPr>
        <w:t>du risque de la CCSN</w:t>
      </w:r>
      <w:r w:rsidR="00B26A31" w:rsidRPr="00F73431">
        <w:rPr>
          <w:lang w:val="fr-CA"/>
        </w:rPr>
        <w:t xml:space="preserve"> dans la réglementation</w:t>
      </w:r>
      <w:r w:rsidR="006432E0" w:rsidRPr="00F73431">
        <w:rPr>
          <w:lang w:val="fr-CA"/>
        </w:rPr>
        <w:t xml:space="preserve">, veuillez consulter le </w:t>
      </w:r>
      <w:hyperlink r:id="rId6" w:history="1">
        <w:r w:rsidR="006432E0" w:rsidRPr="00F73431">
          <w:rPr>
            <w:rStyle w:val="Hyperlink"/>
            <w:sz w:val="20"/>
            <w:lang w:val="fr-CA"/>
          </w:rPr>
          <w:t>REGDOC-3.5.3,</w:t>
        </w:r>
        <w:r w:rsidR="006432E0" w:rsidRPr="00F73431">
          <w:rPr>
            <w:rStyle w:val="Hyperlink"/>
            <w:i/>
            <w:iCs/>
            <w:sz w:val="20"/>
            <w:lang w:val="fr-CA"/>
          </w:rPr>
          <w:t xml:space="preserve"> Principes fondamentaux de réglementation</w:t>
        </w:r>
      </w:hyperlink>
      <w:r w:rsidR="006432E0" w:rsidRPr="00F73431">
        <w:rPr>
          <w:lang w:val="fr-CA"/>
        </w:rPr>
        <w:t xml:space="preserve"> de la CCSN.</w:t>
      </w:r>
      <w:bookmarkEnd w:id="16"/>
    </w:p>
  </w:footnote>
  <w:footnote w:id="10">
    <w:p w14:paraId="095F436B" w14:textId="77777777" w:rsidR="00442986" w:rsidRPr="00F73431" w:rsidRDefault="00442986" w:rsidP="00442986">
      <w:pPr>
        <w:pStyle w:val="FootnoteText"/>
        <w:rPr>
          <w:lang w:val="fr-CA"/>
        </w:rPr>
      </w:pPr>
      <w:r w:rsidRPr="00F73431">
        <w:rPr>
          <w:rStyle w:val="FootnoteReference"/>
          <w:lang w:val="fr-CA"/>
        </w:rPr>
        <w:footnoteRef/>
      </w:r>
      <w:r w:rsidRPr="00F73431">
        <w:rPr>
          <w:lang w:val="fr-CA"/>
        </w:rPr>
        <w:t xml:space="preserve"> </w:t>
      </w:r>
      <w:bookmarkStart w:id="17" w:name="lt_pId364"/>
      <w:r w:rsidRPr="00F73431">
        <w:rPr>
          <w:lang w:val="fr-CA"/>
        </w:rPr>
        <w:t xml:space="preserve">Vous trouverez de l’information sur les activités de vérification de la conformité de la CCSN dans le </w:t>
      </w:r>
      <w:hyperlink r:id="rId7" w:history="1">
        <w:r w:rsidRPr="00F73431">
          <w:rPr>
            <w:rStyle w:val="Hyperlink"/>
            <w:sz w:val="20"/>
            <w:lang w:val="fr-CA"/>
          </w:rPr>
          <w:t>REGDOC</w:t>
        </w:r>
        <w:r w:rsidRPr="00F73431">
          <w:rPr>
            <w:rStyle w:val="Hyperlink"/>
            <w:sz w:val="20"/>
            <w:lang w:val="fr-CA"/>
          </w:rPr>
          <w:noBreakHyphen/>
          <w:t>3.5.3,</w:t>
        </w:r>
        <w:r w:rsidRPr="00F73431">
          <w:rPr>
            <w:rStyle w:val="Hyperlink"/>
            <w:i/>
            <w:iCs/>
            <w:sz w:val="20"/>
            <w:lang w:val="fr-CA"/>
          </w:rPr>
          <w:t xml:space="preserve"> Principes fondamentaux de réglementation</w:t>
        </w:r>
      </w:hyperlink>
      <w:r w:rsidRPr="00F73431">
        <w:rPr>
          <w:lang w:val="fr-CA"/>
        </w:rPr>
        <w:t xml:space="preserve"> de la CCSN.</w:t>
      </w:r>
      <w:bookmarkEnd w:id="17"/>
    </w:p>
  </w:footnote>
  <w:footnote w:id="11">
    <w:p w14:paraId="37C12F8A" w14:textId="46800C04" w:rsidR="008611A2" w:rsidRPr="00F73431" w:rsidRDefault="008611A2">
      <w:pPr>
        <w:pStyle w:val="FootnoteText"/>
        <w:rPr>
          <w:lang w:val="fr-CA"/>
        </w:rPr>
      </w:pPr>
      <w:r w:rsidRPr="00F73431">
        <w:rPr>
          <w:rStyle w:val="FootnoteReference"/>
          <w:lang w:val="fr-CA"/>
        </w:rPr>
        <w:footnoteRef/>
      </w:r>
      <w:r w:rsidRPr="00F73431">
        <w:rPr>
          <w:lang w:val="fr-CA"/>
        </w:rPr>
        <w:t xml:space="preserve"> </w:t>
      </w:r>
      <w:hyperlink r:id="rId8" w:history="1">
        <w:r w:rsidRPr="00F73431">
          <w:rPr>
            <w:rStyle w:val="Hyperlink"/>
            <w:lang w:val="fr-CA"/>
          </w:rPr>
          <w:t xml:space="preserve">CTPAT : Customs Trade Partnership Against </w:t>
        </w:r>
        <w:proofErr w:type="spellStart"/>
        <w:r w:rsidRPr="00F73431">
          <w:rPr>
            <w:rStyle w:val="Hyperlink"/>
            <w:lang w:val="fr-CA"/>
          </w:rPr>
          <w:t>Terrorism</w:t>
        </w:r>
        <w:proofErr w:type="spellEnd"/>
      </w:hyperlink>
      <w:r w:rsidRPr="00F73431">
        <w:rPr>
          <w:lang w:val="fr-CA"/>
        </w:rPr>
        <w:t xml:space="preserve"> (</w:t>
      </w:r>
      <w:r w:rsidR="004610F9" w:rsidRPr="00F73431">
        <w:rPr>
          <w:lang w:val="fr-CA"/>
        </w:rPr>
        <w:t>e</w:t>
      </w:r>
      <w:r w:rsidRPr="00F73431">
        <w:rPr>
          <w:lang w:val="fr-CA"/>
        </w:rPr>
        <w:t>n anglais seulement).</w:t>
      </w:r>
    </w:p>
  </w:footnote>
  <w:footnote w:id="12">
    <w:p w14:paraId="0A610F39" w14:textId="76F0C1E4" w:rsidR="006D6CC6" w:rsidRPr="00F73431" w:rsidRDefault="00CC46AF" w:rsidP="00BD10E9">
      <w:pPr>
        <w:pStyle w:val="FootnoteText"/>
        <w:rPr>
          <w:lang w:val="fr-CA"/>
        </w:rPr>
      </w:pPr>
      <w:r w:rsidRPr="00F73431">
        <w:rPr>
          <w:rStyle w:val="FootnoteReference"/>
          <w:lang w:val="fr-CA"/>
        </w:rPr>
        <w:footnoteRef/>
      </w:r>
      <w:r w:rsidRPr="00F73431">
        <w:rPr>
          <w:lang w:val="fr-CA"/>
        </w:rPr>
        <w:t xml:space="preserve"> </w:t>
      </w:r>
      <w:bookmarkStart w:id="18" w:name="lt_pId367"/>
      <w:r w:rsidR="00E63650" w:rsidRPr="00F73431">
        <w:rPr>
          <w:lang w:val="fr-CA"/>
        </w:rPr>
        <w:t>Un titulaire de permis doit veiller à ce qu’aucune substance nucléaire ne soit enlevée de l’installation nucléaire où il exerce des activités autorisées, sauf au titre d’un permis</w:t>
      </w:r>
      <w:bookmarkEnd w:id="18"/>
      <w:r w:rsidRPr="00F73431">
        <w:rPr>
          <w:lang w:val="fr-CA"/>
        </w:rPr>
        <w:t xml:space="preserve"> </w:t>
      </w:r>
      <w:bookmarkStart w:id="19" w:name="lt_pId368"/>
      <w:r w:rsidR="001E195F" w:rsidRPr="00F73431">
        <w:rPr>
          <w:lang w:val="fr-CA"/>
        </w:rPr>
        <w:t>(</w:t>
      </w:r>
      <w:hyperlink r:id="rId9" w:history="1">
        <w:r w:rsidR="001E195F" w:rsidRPr="00F73431">
          <w:rPr>
            <w:rStyle w:val="Hyperlink"/>
            <w:i/>
            <w:iCs/>
            <w:sz w:val="20"/>
            <w:lang w:val="fr-CA"/>
          </w:rPr>
          <w:t>Règlement sur la sécurité nucléaire </w:t>
        </w:r>
        <w:r w:rsidR="00070820" w:rsidRPr="00F73431">
          <w:rPr>
            <w:rStyle w:val="Hyperlink"/>
            <w:i/>
            <w:iCs/>
            <w:sz w:val="20"/>
            <w:lang w:val="fr-CA"/>
          </w:rPr>
          <w:t>(</w:t>
        </w:r>
        <w:r w:rsidR="001E195F" w:rsidRPr="00F73431">
          <w:rPr>
            <w:rStyle w:val="Hyperlink"/>
            <w:i/>
            <w:iCs/>
            <w:sz w:val="20"/>
            <w:lang w:val="fr-CA"/>
          </w:rPr>
          <w:t>2023</w:t>
        </w:r>
        <w:r w:rsidR="00070820" w:rsidRPr="00F73431">
          <w:rPr>
            <w:rStyle w:val="Hyperlink"/>
            <w:i/>
            <w:iCs/>
            <w:sz w:val="20"/>
            <w:lang w:val="fr-CA"/>
          </w:rPr>
          <w:t>)</w:t>
        </w:r>
      </w:hyperlink>
      <w:r w:rsidR="001E195F" w:rsidRPr="00F73431">
        <w:rPr>
          <w:lang w:val="fr-CA"/>
        </w:rPr>
        <w:t>)</w:t>
      </w:r>
      <w:bookmarkEnd w:id="19"/>
      <w:r w:rsidR="00DA0B9E" w:rsidRPr="00F73431">
        <w:rPr>
          <w:lang w:val="fr-CA"/>
        </w:rPr>
        <w:t>.</w:t>
      </w:r>
    </w:p>
  </w:footnote>
  <w:footnote w:id="13">
    <w:p w14:paraId="4891A4F8" w14:textId="45A095FE" w:rsidR="006D6CC6" w:rsidRPr="00F73431" w:rsidRDefault="00CC46AF" w:rsidP="00BD10E9">
      <w:pPr>
        <w:pStyle w:val="FootnoteText"/>
        <w:rPr>
          <w:lang w:val="fr-CA"/>
        </w:rPr>
      </w:pPr>
      <w:r w:rsidRPr="00F73431">
        <w:rPr>
          <w:rStyle w:val="FootnoteReference"/>
          <w:lang w:val="fr-CA"/>
        </w:rPr>
        <w:footnoteRef/>
      </w:r>
      <w:r w:rsidRPr="00F73431">
        <w:rPr>
          <w:lang w:val="fr-CA"/>
        </w:rPr>
        <w:t xml:space="preserve"> </w:t>
      </w:r>
      <w:bookmarkStart w:id="20" w:name="lt_pId369"/>
      <w:r w:rsidR="00DA0B9E" w:rsidRPr="00F73431">
        <w:rPr>
          <w:lang w:val="fr-CA"/>
        </w:rPr>
        <w:t>Désigne une zone située à l’intérieur d’une zone protégée et qui contient de l’équipement, des systèmes, des structures, des composants ou des substances nucléaires dont le sabotage pourrait présenter, pour l’environnement ou la santé ou la sécurité des personnes, un danger inacceptable découlant de l’exposition au rayonnement</w:t>
      </w:r>
      <w:bookmarkEnd w:id="20"/>
      <w:r w:rsidRPr="00F73431">
        <w:rPr>
          <w:lang w:val="fr-CA"/>
        </w:rPr>
        <w:t xml:space="preserve"> </w:t>
      </w:r>
      <w:r w:rsidR="008574F6" w:rsidRPr="00F73431">
        <w:rPr>
          <w:lang w:val="fr-CA"/>
        </w:rPr>
        <w:t>(</w:t>
      </w:r>
      <w:hyperlink r:id="rId10" w:history="1">
        <w:r w:rsidR="008574F6" w:rsidRPr="00F73431">
          <w:rPr>
            <w:rStyle w:val="Hyperlink"/>
            <w:i/>
            <w:iCs/>
            <w:sz w:val="20"/>
            <w:lang w:val="fr-CA"/>
          </w:rPr>
          <w:t>Règlement sur la sécurité nucléaire </w:t>
        </w:r>
        <w:r w:rsidR="00070820" w:rsidRPr="00F73431">
          <w:rPr>
            <w:rStyle w:val="Hyperlink"/>
            <w:i/>
            <w:iCs/>
            <w:sz w:val="20"/>
            <w:lang w:val="fr-CA"/>
          </w:rPr>
          <w:t>(</w:t>
        </w:r>
        <w:r w:rsidR="008574F6" w:rsidRPr="00F73431">
          <w:rPr>
            <w:rStyle w:val="Hyperlink"/>
            <w:i/>
            <w:iCs/>
            <w:sz w:val="20"/>
            <w:lang w:val="fr-CA"/>
          </w:rPr>
          <w:t>2023</w:t>
        </w:r>
        <w:r w:rsidR="00070820" w:rsidRPr="00F73431">
          <w:rPr>
            <w:rStyle w:val="Hyperlink"/>
            <w:i/>
            <w:iCs/>
            <w:sz w:val="20"/>
            <w:lang w:val="fr-CA"/>
          </w:rPr>
          <w:t>)</w:t>
        </w:r>
      </w:hyperlink>
      <w:r w:rsidR="008574F6" w:rsidRPr="00F73431">
        <w:rPr>
          <w:lang w:val="fr-CA"/>
        </w:rPr>
        <w:t>).</w:t>
      </w:r>
    </w:p>
  </w:footnote>
  <w:footnote w:id="14">
    <w:p w14:paraId="02A4F4FF" w14:textId="153CB8CE" w:rsidR="000D501A" w:rsidRPr="00F73431" w:rsidRDefault="000D501A" w:rsidP="000D501A">
      <w:pPr>
        <w:pStyle w:val="FootnoteText"/>
        <w:rPr>
          <w:lang w:val="fr-CA"/>
        </w:rPr>
      </w:pPr>
      <w:r w:rsidRPr="00F73431">
        <w:rPr>
          <w:rStyle w:val="FootnoteReference"/>
          <w:lang w:val="fr-CA"/>
        </w:rPr>
        <w:footnoteRef/>
      </w:r>
      <w:r w:rsidRPr="00F73431">
        <w:rPr>
          <w:lang w:val="fr-CA"/>
        </w:rPr>
        <w:t xml:space="preserve"> </w:t>
      </w:r>
      <w:bookmarkStart w:id="21" w:name="lt_pId371"/>
      <w:r w:rsidR="008574F6" w:rsidRPr="00F73431">
        <w:rPr>
          <w:lang w:val="fr-CA"/>
        </w:rPr>
        <w:t xml:space="preserve">AIEA </w:t>
      </w:r>
      <w:r w:rsidR="00D977B6" w:rsidRPr="00F73431">
        <w:rPr>
          <w:lang w:val="fr-CA"/>
        </w:rPr>
        <w:t>–</w:t>
      </w:r>
      <w:r w:rsidR="004A6106" w:rsidRPr="00F73431">
        <w:rPr>
          <w:lang w:val="fr-CA"/>
        </w:rPr>
        <w:t xml:space="preserve"> </w:t>
      </w:r>
      <w:hyperlink r:id="rId11" w:history="1">
        <w:r w:rsidR="00070820" w:rsidRPr="00F73431">
          <w:rPr>
            <w:rStyle w:val="Hyperlink"/>
            <w:i/>
            <w:iCs/>
            <w:sz w:val="20"/>
            <w:lang w:val="fr-CA"/>
          </w:rPr>
          <w:t>CSN n</w:t>
        </w:r>
        <w:r w:rsidR="004A6106" w:rsidRPr="00F73431">
          <w:rPr>
            <w:rStyle w:val="Hyperlink"/>
            <w:i/>
            <w:iCs/>
            <w:sz w:val="20"/>
            <w:vertAlign w:val="superscript"/>
            <w:lang w:val="fr-CA"/>
          </w:rPr>
          <w:t>o</w:t>
        </w:r>
        <w:r w:rsidR="004A6106" w:rsidRPr="00F73431">
          <w:rPr>
            <w:rStyle w:val="Hyperlink"/>
            <w:i/>
            <w:iCs/>
            <w:sz w:val="20"/>
            <w:lang w:val="fr-CA"/>
          </w:rPr>
          <w:t> 16, Identification des zones vitales des installations nucléaires</w:t>
        </w:r>
      </w:hyperlink>
      <w:bookmarkEnd w:id="21"/>
      <w:r w:rsidR="00D977B6" w:rsidRPr="00F73431">
        <w:rPr>
          <w:lang w:val="fr-CA"/>
        </w:rPr>
        <w:t>.</w:t>
      </w:r>
    </w:p>
  </w:footnote>
  <w:footnote w:id="15">
    <w:p w14:paraId="4643F199" w14:textId="72919418" w:rsidR="006D6CC6" w:rsidRPr="00F73431" w:rsidRDefault="00CC46AF" w:rsidP="00BD10E9">
      <w:pPr>
        <w:pStyle w:val="FootnoteText"/>
        <w:rPr>
          <w:lang w:val="fr-CA"/>
        </w:rPr>
      </w:pPr>
      <w:r w:rsidRPr="00F73431">
        <w:rPr>
          <w:rStyle w:val="FootnoteReference"/>
          <w:lang w:val="fr-CA"/>
        </w:rPr>
        <w:footnoteRef/>
      </w:r>
      <w:r w:rsidRPr="00F73431">
        <w:rPr>
          <w:lang w:val="fr-CA"/>
        </w:rPr>
        <w:t xml:space="preserve"> </w:t>
      </w:r>
      <w:bookmarkStart w:id="23" w:name="lt_pId372"/>
      <w:r w:rsidR="004C2033" w:rsidRPr="00F73431">
        <w:rPr>
          <w:lang w:val="fr-CA"/>
        </w:rPr>
        <w:t>67 (1) La zone protégée est entourée par au moins deux barrières physiques, notamment une barrière intérieure aménagée le long de son périmètre et une barrière extérieure qui entoure cette barrière intérieure (</w:t>
      </w:r>
      <w:hyperlink r:id="rId12" w:history="1">
        <w:r w:rsidR="004C2033" w:rsidRPr="00F73431">
          <w:rPr>
            <w:rStyle w:val="Hyperlink"/>
            <w:i/>
            <w:iCs/>
            <w:sz w:val="20"/>
            <w:lang w:val="fr-CA"/>
          </w:rPr>
          <w:t xml:space="preserve">Règlement sur la sécurité nucléaire </w:t>
        </w:r>
        <w:r w:rsidR="00EC293B" w:rsidRPr="00F73431">
          <w:rPr>
            <w:rStyle w:val="Hyperlink"/>
            <w:i/>
            <w:iCs/>
            <w:sz w:val="20"/>
            <w:lang w:val="fr-CA"/>
          </w:rPr>
          <w:t>(</w:t>
        </w:r>
        <w:r w:rsidR="004C2033" w:rsidRPr="00F73431">
          <w:rPr>
            <w:rStyle w:val="Hyperlink"/>
            <w:i/>
            <w:iCs/>
            <w:sz w:val="20"/>
            <w:lang w:val="fr-CA"/>
          </w:rPr>
          <w:t>2023</w:t>
        </w:r>
        <w:r w:rsidR="00EC293B" w:rsidRPr="00F73431">
          <w:rPr>
            <w:rStyle w:val="Hyperlink"/>
            <w:i/>
            <w:iCs/>
            <w:sz w:val="20"/>
            <w:lang w:val="fr-CA"/>
          </w:rPr>
          <w:t>)</w:t>
        </w:r>
      </w:hyperlink>
      <w:r w:rsidR="004C2033" w:rsidRPr="00F73431">
        <w:rPr>
          <w:lang w:val="fr-CA"/>
        </w:rPr>
        <w:t>).</w:t>
      </w:r>
      <w:bookmarkEnd w:id="23"/>
    </w:p>
  </w:footnote>
  <w:footnote w:id="16">
    <w:p w14:paraId="37985878" w14:textId="6D0A14CC" w:rsidR="006D6CC6" w:rsidRPr="00F73431" w:rsidRDefault="00CC46AF" w:rsidP="00BD10E9">
      <w:pPr>
        <w:pStyle w:val="FootnoteText"/>
        <w:rPr>
          <w:lang w:val="fr-CA"/>
        </w:rPr>
      </w:pPr>
      <w:r w:rsidRPr="00F73431">
        <w:rPr>
          <w:rStyle w:val="FootnoteReference"/>
          <w:lang w:val="fr-CA"/>
        </w:rPr>
        <w:footnoteRef/>
      </w:r>
      <w:r w:rsidRPr="00F73431">
        <w:rPr>
          <w:lang w:val="fr-CA"/>
        </w:rPr>
        <w:t xml:space="preserve"> (2) </w:t>
      </w:r>
      <w:bookmarkStart w:id="24" w:name="lt_pId374"/>
      <w:r w:rsidR="00D57BA6" w:rsidRPr="00F73431">
        <w:rPr>
          <w:lang w:val="fr-CA"/>
        </w:rPr>
        <w:t>Le périmètre d’une zone protégée :</w:t>
      </w:r>
      <w:bookmarkEnd w:id="24"/>
    </w:p>
    <w:p w14:paraId="6A86BDEC" w14:textId="03B0BAEE" w:rsidR="006D6CC6" w:rsidRPr="00F73431" w:rsidRDefault="00DB13D8" w:rsidP="00BD10E9">
      <w:pPr>
        <w:pStyle w:val="FootnoteText"/>
        <w:rPr>
          <w:lang w:val="fr-CA"/>
        </w:rPr>
      </w:pPr>
      <w:bookmarkStart w:id="25" w:name="lt_pId375"/>
      <w:r w:rsidRPr="00F73431">
        <w:rPr>
          <w:lang w:val="fr-CA"/>
        </w:rPr>
        <w:t>a) d’une part, bénéficie d’au moins deux mesures de sécurité nucléaire différentes qui sont conformes aux exigences suivantes [</w:t>
      </w:r>
      <w:r w:rsidR="004610F9" w:rsidRPr="00F73431">
        <w:rPr>
          <w:lang w:val="fr-CA"/>
        </w:rPr>
        <w:t>…</w:t>
      </w:r>
      <w:r w:rsidRPr="00F73431">
        <w:rPr>
          <w:lang w:val="fr-CA"/>
        </w:rPr>
        <w:t>] (</w:t>
      </w:r>
      <w:hyperlink r:id="rId13" w:history="1">
        <w:r w:rsidR="00BC4C5C" w:rsidRPr="00F73431">
          <w:rPr>
            <w:rStyle w:val="Hyperlink"/>
            <w:i/>
            <w:iCs/>
            <w:sz w:val="20"/>
            <w:lang w:val="fr-CA"/>
          </w:rPr>
          <w:t xml:space="preserve">Règlement sur la sécurité nucléaire </w:t>
        </w:r>
        <w:r w:rsidR="00EC293B" w:rsidRPr="00F73431">
          <w:rPr>
            <w:rStyle w:val="Hyperlink"/>
            <w:i/>
            <w:iCs/>
            <w:sz w:val="20"/>
            <w:lang w:val="fr-CA"/>
          </w:rPr>
          <w:t>(</w:t>
        </w:r>
        <w:r w:rsidR="00BC4C5C" w:rsidRPr="00F73431">
          <w:rPr>
            <w:rStyle w:val="Hyperlink"/>
            <w:i/>
            <w:iCs/>
            <w:sz w:val="20"/>
            <w:lang w:val="fr-CA"/>
          </w:rPr>
          <w:t>2023</w:t>
        </w:r>
        <w:r w:rsidR="00EC293B" w:rsidRPr="00F73431">
          <w:rPr>
            <w:rStyle w:val="Hyperlink"/>
            <w:i/>
            <w:iCs/>
            <w:sz w:val="20"/>
            <w:lang w:val="fr-CA"/>
          </w:rPr>
          <w:t>)</w:t>
        </w:r>
      </w:hyperlink>
      <w:r w:rsidRPr="00F73431">
        <w:rPr>
          <w:lang w:val="fr-CA"/>
        </w:rPr>
        <w:t>).</w:t>
      </w:r>
      <w:bookmarkEnd w:id="25"/>
    </w:p>
    <w:p w14:paraId="4E30E7C4" w14:textId="77777777" w:rsidR="006D6CC6" w:rsidRPr="00F73431" w:rsidRDefault="006D6CC6" w:rsidP="00BD10E9">
      <w:pPr>
        <w:pStyle w:val="FootnoteText"/>
        <w:rPr>
          <w:b/>
          <w:bCs/>
          <w:lang w:val="fr-CA"/>
        </w:rPr>
      </w:pPr>
    </w:p>
  </w:footnote>
  <w:footnote w:id="17">
    <w:p w14:paraId="45382CA9" w14:textId="090A6D2F" w:rsidR="006D6CC6" w:rsidRPr="00F73431" w:rsidRDefault="00CC46AF" w:rsidP="00BD10E9">
      <w:pPr>
        <w:pStyle w:val="FootnoteText"/>
        <w:rPr>
          <w:lang w:val="fr-CA"/>
        </w:rPr>
      </w:pPr>
      <w:r w:rsidRPr="00F73431">
        <w:rPr>
          <w:rStyle w:val="FootnoteReference"/>
          <w:lang w:val="fr-CA"/>
        </w:rPr>
        <w:footnoteRef/>
      </w:r>
      <w:r w:rsidRPr="00F73431">
        <w:rPr>
          <w:lang w:val="fr-CA"/>
        </w:rPr>
        <w:t xml:space="preserve"> </w:t>
      </w:r>
      <w:bookmarkStart w:id="26" w:name="lt_pId376"/>
      <w:r w:rsidR="00DA7F99" w:rsidRPr="00F73431">
        <w:rPr>
          <w:lang w:val="fr-CA"/>
        </w:rPr>
        <w:t>Procédure qui requiert qu’au moins deux personnes autorisées et bien informées soient présentes pour vérifier que les activités mettant en jeu des matières nucléaires et des installations nucléaires sont autorisées de sorte à détecter un accès ou des mesures qui ne sont pas autorisés (</w:t>
      </w:r>
      <w:hyperlink r:id="rId14" w:history="1">
        <w:r w:rsidR="00DA7F99" w:rsidRPr="00F73431">
          <w:rPr>
            <w:rStyle w:val="Hyperlink"/>
            <w:i/>
            <w:iCs/>
            <w:sz w:val="20"/>
            <w:lang w:val="fr-CA"/>
          </w:rPr>
          <w:t xml:space="preserve">CSN </w:t>
        </w:r>
        <w:r w:rsidR="003C01AA" w:rsidRPr="00F73431">
          <w:rPr>
            <w:rStyle w:val="Hyperlink"/>
            <w:i/>
            <w:iCs/>
            <w:sz w:val="20"/>
            <w:lang w:val="fr-CA"/>
          </w:rPr>
          <w:t>n</w:t>
        </w:r>
        <w:r w:rsidR="003C01AA" w:rsidRPr="00F73431">
          <w:rPr>
            <w:rStyle w:val="Hyperlink"/>
            <w:i/>
            <w:iCs/>
            <w:sz w:val="20"/>
            <w:vertAlign w:val="superscript"/>
            <w:lang w:val="fr-CA"/>
          </w:rPr>
          <w:t>o</w:t>
        </w:r>
        <w:r w:rsidR="003C01AA" w:rsidRPr="00F73431">
          <w:rPr>
            <w:rStyle w:val="Hyperlink"/>
            <w:i/>
            <w:iCs/>
            <w:sz w:val="20"/>
            <w:lang w:val="fr-CA"/>
          </w:rPr>
          <w:t xml:space="preserve"> 13 </w:t>
        </w:r>
        <w:r w:rsidR="00DA7F99" w:rsidRPr="00F73431">
          <w:rPr>
            <w:rStyle w:val="Hyperlink"/>
            <w:i/>
            <w:iCs/>
            <w:sz w:val="20"/>
            <w:lang w:val="fr-CA"/>
          </w:rPr>
          <w:t>de l’AIEA</w:t>
        </w:r>
      </w:hyperlink>
      <w:r w:rsidR="00DA7F99" w:rsidRPr="00F73431">
        <w:rPr>
          <w:lang w:val="fr-CA"/>
        </w:rPr>
        <w:t>).</w:t>
      </w:r>
      <w:bookmarkEnd w:id="26"/>
    </w:p>
  </w:footnote>
  <w:footnote w:id="18">
    <w:p w14:paraId="17161CCC" w14:textId="53509556" w:rsidR="006D6CC6" w:rsidRPr="00F73431" w:rsidRDefault="00CC46AF" w:rsidP="00BD10E9">
      <w:pPr>
        <w:pStyle w:val="FootnoteText"/>
        <w:rPr>
          <w:lang w:val="fr-CA"/>
        </w:rPr>
      </w:pPr>
      <w:r w:rsidRPr="00F73431">
        <w:rPr>
          <w:rStyle w:val="FootnoteReference"/>
          <w:lang w:val="fr-CA"/>
        </w:rPr>
        <w:footnoteRef/>
      </w:r>
      <w:r w:rsidRPr="00F73431">
        <w:rPr>
          <w:lang w:val="fr-CA"/>
        </w:rPr>
        <w:t xml:space="preserve"> </w:t>
      </w:r>
      <w:hyperlink r:id="rId15" w:history="1">
        <w:bookmarkStart w:id="27" w:name="lt_pId377"/>
        <w:r w:rsidR="0097448C" w:rsidRPr="00F73431">
          <w:rPr>
            <w:rStyle w:val="Hyperlink"/>
            <w:sz w:val="20"/>
            <w:lang w:val="fr-CA"/>
          </w:rPr>
          <w:t>Service consultatif international sur la protection physique (IPPAS)</w:t>
        </w:r>
        <w:bookmarkEnd w:id="27"/>
      </w:hyperlink>
      <w:r w:rsidR="004610F9" w:rsidRPr="00F73431">
        <w:rPr>
          <w:rStyle w:val="Hyperlink"/>
          <w:sz w:val="20"/>
          <w:u w:val="none"/>
          <w:lang w:val="fr-CA"/>
        </w:rPr>
        <w:t>.</w:t>
      </w:r>
    </w:p>
  </w:footnote>
  <w:footnote w:id="19">
    <w:p w14:paraId="465B89F0" w14:textId="3FDFF1FC" w:rsidR="006D6CC6" w:rsidRPr="00F73431" w:rsidRDefault="00CC46AF" w:rsidP="00BD10E9">
      <w:pPr>
        <w:pStyle w:val="FootnoteText"/>
        <w:rPr>
          <w:lang w:val="fr-CA"/>
        </w:rPr>
      </w:pPr>
      <w:r w:rsidRPr="00F73431">
        <w:rPr>
          <w:rStyle w:val="FootnoteReference"/>
          <w:lang w:val="fr-CA"/>
        </w:rPr>
        <w:footnoteRef/>
      </w:r>
      <w:bookmarkStart w:id="28" w:name="lt_pId378"/>
      <w:r w:rsidR="003F4C6E" w:rsidRPr="00F73431">
        <w:rPr>
          <w:lang w:val="fr-CA"/>
        </w:rPr>
        <w:t>15(3) Le titulaire de permis surveille les dispositifs d’alarme visés par les sous-alinéas (1)c)(iii), 11a)(iii) et 14a)(iii) à l’aide d’un système d’alarme principal et d’un système d’appoint,</w:t>
      </w:r>
      <w:bookmarkEnd w:id="28"/>
      <w:r w:rsidRPr="00F73431">
        <w:rPr>
          <w:lang w:val="fr-CA"/>
        </w:rPr>
        <w:t xml:space="preserve"> </w:t>
      </w:r>
      <w:bookmarkStart w:id="29" w:name="lt_pId379"/>
      <w:r w:rsidR="00A04CC7" w:rsidRPr="00F73431">
        <w:rPr>
          <w:lang w:val="fr-CA"/>
        </w:rPr>
        <w:t>ce dernier assurant le maintien de la fonction de surveillance — notamment des systèmes informatiques essentiels — en cas de panne de l’équipement essentiel au fonctionnement du système principal (</w:t>
      </w:r>
      <w:hyperlink r:id="rId16" w:history="1">
        <w:r w:rsidR="00A04CC7" w:rsidRPr="00F73431">
          <w:rPr>
            <w:rStyle w:val="Hyperlink"/>
            <w:i/>
            <w:iCs/>
            <w:sz w:val="20"/>
            <w:lang w:val="fr-CA"/>
          </w:rPr>
          <w:t>Règlement sur la sécurité nucléaire</w:t>
        </w:r>
      </w:hyperlink>
      <w:r w:rsidR="00A04CC7" w:rsidRPr="00F73431">
        <w:rPr>
          <w:lang w:val="fr-CA"/>
        </w:rPr>
        <w:t>).</w:t>
      </w:r>
      <w:bookmarkEnd w:id="29"/>
      <w:r w:rsidRPr="00F73431">
        <w:rPr>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6EBF" w14:textId="77777777" w:rsidR="004610F9" w:rsidRDefault="0046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991684"/>
      <w:docPartObj>
        <w:docPartGallery w:val="Page Numbers (Top of Page)"/>
        <w:docPartUnique/>
      </w:docPartObj>
    </w:sdtPr>
    <w:sdtEndPr>
      <w:rPr>
        <w:noProof/>
      </w:rPr>
    </w:sdtEndPr>
    <w:sdtContent>
      <w:p w14:paraId="04D8E286" w14:textId="77777777" w:rsidR="006D6CC6" w:rsidRDefault="00CC46AF">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0F76CF0D" w14:textId="77777777" w:rsidR="006D6CC6" w:rsidRDefault="006D6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C771" w14:textId="77777777" w:rsidR="004610F9" w:rsidRDefault="0046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C21"/>
    <w:multiLevelType w:val="multilevel"/>
    <w:tmpl w:val="757A2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742BE9"/>
    <w:multiLevelType w:val="hybridMultilevel"/>
    <w:tmpl w:val="67A0CBBA"/>
    <w:lvl w:ilvl="0" w:tplc="4C3E6C9C">
      <w:start w:val="1"/>
      <w:numFmt w:val="decimal"/>
      <w:lvlText w:val="%1."/>
      <w:lvlJc w:val="left"/>
      <w:pPr>
        <w:ind w:left="720" w:hanging="360"/>
      </w:pPr>
    </w:lvl>
    <w:lvl w:ilvl="1" w:tplc="1C08B96E" w:tentative="1">
      <w:start w:val="1"/>
      <w:numFmt w:val="lowerLetter"/>
      <w:lvlText w:val="%2."/>
      <w:lvlJc w:val="left"/>
      <w:pPr>
        <w:ind w:left="1440" w:hanging="360"/>
      </w:pPr>
    </w:lvl>
    <w:lvl w:ilvl="2" w:tplc="34945D44" w:tentative="1">
      <w:start w:val="1"/>
      <w:numFmt w:val="lowerRoman"/>
      <w:lvlText w:val="%3."/>
      <w:lvlJc w:val="right"/>
      <w:pPr>
        <w:ind w:left="2160" w:hanging="180"/>
      </w:pPr>
    </w:lvl>
    <w:lvl w:ilvl="3" w:tplc="50DC93CA" w:tentative="1">
      <w:start w:val="1"/>
      <w:numFmt w:val="decimal"/>
      <w:lvlText w:val="%4."/>
      <w:lvlJc w:val="left"/>
      <w:pPr>
        <w:ind w:left="2880" w:hanging="360"/>
      </w:pPr>
    </w:lvl>
    <w:lvl w:ilvl="4" w:tplc="4BC2C27E" w:tentative="1">
      <w:start w:val="1"/>
      <w:numFmt w:val="lowerLetter"/>
      <w:lvlText w:val="%5."/>
      <w:lvlJc w:val="left"/>
      <w:pPr>
        <w:ind w:left="3600" w:hanging="360"/>
      </w:pPr>
    </w:lvl>
    <w:lvl w:ilvl="5" w:tplc="0E96DFA6" w:tentative="1">
      <w:start w:val="1"/>
      <w:numFmt w:val="lowerRoman"/>
      <w:lvlText w:val="%6."/>
      <w:lvlJc w:val="right"/>
      <w:pPr>
        <w:ind w:left="4320" w:hanging="180"/>
      </w:pPr>
    </w:lvl>
    <w:lvl w:ilvl="6" w:tplc="A82AE062" w:tentative="1">
      <w:start w:val="1"/>
      <w:numFmt w:val="decimal"/>
      <w:lvlText w:val="%7."/>
      <w:lvlJc w:val="left"/>
      <w:pPr>
        <w:ind w:left="5040" w:hanging="360"/>
      </w:pPr>
    </w:lvl>
    <w:lvl w:ilvl="7" w:tplc="9F54EE58" w:tentative="1">
      <w:start w:val="1"/>
      <w:numFmt w:val="lowerLetter"/>
      <w:lvlText w:val="%8."/>
      <w:lvlJc w:val="left"/>
      <w:pPr>
        <w:ind w:left="5760" w:hanging="360"/>
      </w:pPr>
    </w:lvl>
    <w:lvl w:ilvl="8" w:tplc="27F64EC4" w:tentative="1">
      <w:start w:val="1"/>
      <w:numFmt w:val="lowerRoman"/>
      <w:lvlText w:val="%9."/>
      <w:lvlJc w:val="right"/>
      <w:pPr>
        <w:ind w:left="6480" w:hanging="180"/>
      </w:pPr>
    </w:lvl>
  </w:abstractNum>
  <w:abstractNum w:abstractNumId="2" w15:restartNumberingAfterBreak="0">
    <w:nsid w:val="284F28A8"/>
    <w:multiLevelType w:val="hybridMultilevel"/>
    <w:tmpl w:val="16D443A0"/>
    <w:lvl w:ilvl="0" w:tplc="51B63172">
      <w:start w:val="930"/>
      <w:numFmt w:val="bullet"/>
      <w:lvlText w:val="-"/>
      <w:lvlJc w:val="left"/>
      <w:pPr>
        <w:ind w:left="720" w:hanging="360"/>
      </w:pPr>
      <w:rPr>
        <w:rFonts w:ascii="Franklin Gothic Book" w:eastAsiaTheme="minorHAnsi" w:hAnsi="Franklin Gothic Book" w:cstheme="minorBidi" w:hint="default"/>
      </w:rPr>
    </w:lvl>
    <w:lvl w:ilvl="1" w:tplc="405C709A" w:tentative="1">
      <w:start w:val="1"/>
      <w:numFmt w:val="bullet"/>
      <w:lvlText w:val="o"/>
      <w:lvlJc w:val="left"/>
      <w:pPr>
        <w:ind w:left="1440" w:hanging="360"/>
      </w:pPr>
      <w:rPr>
        <w:rFonts w:ascii="Courier New" w:hAnsi="Courier New" w:cs="Courier New" w:hint="default"/>
      </w:rPr>
    </w:lvl>
    <w:lvl w:ilvl="2" w:tplc="5E5C7E06" w:tentative="1">
      <w:start w:val="1"/>
      <w:numFmt w:val="bullet"/>
      <w:lvlText w:val=""/>
      <w:lvlJc w:val="left"/>
      <w:pPr>
        <w:ind w:left="2160" w:hanging="360"/>
      </w:pPr>
      <w:rPr>
        <w:rFonts w:ascii="Wingdings" w:hAnsi="Wingdings" w:hint="default"/>
      </w:rPr>
    </w:lvl>
    <w:lvl w:ilvl="3" w:tplc="2C788388" w:tentative="1">
      <w:start w:val="1"/>
      <w:numFmt w:val="bullet"/>
      <w:lvlText w:val=""/>
      <w:lvlJc w:val="left"/>
      <w:pPr>
        <w:ind w:left="2880" w:hanging="360"/>
      </w:pPr>
      <w:rPr>
        <w:rFonts w:ascii="Symbol" w:hAnsi="Symbol" w:hint="default"/>
      </w:rPr>
    </w:lvl>
    <w:lvl w:ilvl="4" w:tplc="A1FCEA10" w:tentative="1">
      <w:start w:val="1"/>
      <w:numFmt w:val="bullet"/>
      <w:lvlText w:val="o"/>
      <w:lvlJc w:val="left"/>
      <w:pPr>
        <w:ind w:left="3600" w:hanging="360"/>
      </w:pPr>
      <w:rPr>
        <w:rFonts w:ascii="Courier New" w:hAnsi="Courier New" w:cs="Courier New" w:hint="default"/>
      </w:rPr>
    </w:lvl>
    <w:lvl w:ilvl="5" w:tplc="20B2992A" w:tentative="1">
      <w:start w:val="1"/>
      <w:numFmt w:val="bullet"/>
      <w:lvlText w:val=""/>
      <w:lvlJc w:val="left"/>
      <w:pPr>
        <w:ind w:left="4320" w:hanging="360"/>
      </w:pPr>
      <w:rPr>
        <w:rFonts w:ascii="Wingdings" w:hAnsi="Wingdings" w:hint="default"/>
      </w:rPr>
    </w:lvl>
    <w:lvl w:ilvl="6" w:tplc="7BCCE2CA" w:tentative="1">
      <w:start w:val="1"/>
      <w:numFmt w:val="bullet"/>
      <w:lvlText w:val=""/>
      <w:lvlJc w:val="left"/>
      <w:pPr>
        <w:ind w:left="5040" w:hanging="360"/>
      </w:pPr>
      <w:rPr>
        <w:rFonts w:ascii="Symbol" w:hAnsi="Symbol" w:hint="default"/>
      </w:rPr>
    </w:lvl>
    <w:lvl w:ilvl="7" w:tplc="E1C84720" w:tentative="1">
      <w:start w:val="1"/>
      <w:numFmt w:val="bullet"/>
      <w:lvlText w:val="o"/>
      <w:lvlJc w:val="left"/>
      <w:pPr>
        <w:ind w:left="5760" w:hanging="360"/>
      </w:pPr>
      <w:rPr>
        <w:rFonts w:ascii="Courier New" w:hAnsi="Courier New" w:cs="Courier New" w:hint="default"/>
      </w:rPr>
    </w:lvl>
    <w:lvl w:ilvl="8" w:tplc="E8826A52" w:tentative="1">
      <w:start w:val="1"/>
      <w:numFmt w:val="bullet"/>
      <w:lvlText w:val=""/>
      <w:lvlJc w:val="left"/>
      <w:pPr>
        <w:ind w:left="6480" w:hanging="360"/>
      </w:pPr>
      <w:rPr>
        <w:rFonts w:ascii="Wingdings" w:hAnsi="Wingdings" w:hint="default"/>
      </w:rPr>
    </w:lvl>
  </w:abstractNum>
  <w:abstractNum w:abstractNumId="3" w15:restartNumberingAfterBreak="0">
    <w:nsid w:val="2D862579"/>
    <w:multiLevelType w:val="hybridMultilevel"/>
    <w:tmpl w:val="9E8276B8"/>
    <w:lvl w:ilvl="0" w:tplc="F7E813A2">
      <w:start w:val="1"/>
      <w:numFmt w:val="bullet"/>
      <w:pStyle w:val="BulletListSub-item"/>
      <w:lvlText w:val=""/>
      <w:lvlJc w:val="left"/>
      <w:pPr>
        <w:ind w:left="1052" w:hanging="360"/>
      </w:pPr>
      <w:rPr>
        <w:rFonts w:ascii="Symbol" w:hAnsi="Symbol" w:hint="default"/>
      </w:rPr>
    </w:lvl>
    <w:lvl w:ilvl="1" w:tplc="844865AA" w:tentative="1">
      <w:start w:val="1"/>
      <w:numFmt w:val="bullet"/>
      <w:lvlText w:val="o"/>
      <w:lvlJc w:val="left"/>
      <w:pPr>
        <w:ind w:left="1772" w:hanging="360"/>
      </w:pPr>
      <w:rPr>
        <w:rFonts w:ascii="Courier New" w:hAnsi="Courier New" w:cs="Courier New" w:hint="default"/>
      </w:rPr>
    </w:lvl>
    <w:lvl w:ilvl="2" w:tplc="CBB810F4" w:tentative="1">
      <w:start w:val="1"/>
      <w:numFmt w:val="bullet"/>
      <w:lvlText w:val=""/>
      <w:lvlJc w:val="left"/>
      <w:pPr>
        <w:ind w:left="2492" w:hanging="360"/>
      </w:pPr>
      <w:rPr>
        <w:rFonts w:ascii="Wingdings" w:hAnsi="Wingdings" w:hint="default"/>
      </w:rPr>
    </w:lvl>
    <w:lvl w:ilvl="3" w:tplc="C60EBB46" w:tentative="1">
      <w:start w:val="1"/>
      <w:numFmt w:val="bullet"/>
      <w:lvlText w:val=""/>
      <w:lvlJc w:val="left"/>
      <w:pPr>
        <w:ind w:left="3212" w:hanging="360"/>
      </w:pPr>
      <w:rPr>
        <w:rFonts w:ascii="Symbol" w:hAnsi="Symbol" w:hint="default"/>
      </w:rPr>
    </w:lvl>
    <w:lvl w:ilvl="4" w:tplc="FAA8A1D6" w:tentative="1">
      <w:start w:val="1"/>
      <w:numFmt w:val="bullet"/>
      <w:lvlText w:val="o"/>
      <w:lvlJc w:val="left"/>
      <w:pPr>
        <w:ind w:left="3932" w:hanging="360"/>
      </w:pPr>
      <w:rPr>
        <w:rFonts w:ascii="Courier New" w:hAnsi="Courier New" w:cs="Courier New" w:hint="default"/>
      </w:rPr>
    </w:lvl>
    <w:lvl w:ilvl="5" w:tplc="F9CCA0C4" w:tentative="1">
      <w:start w:val="1"/>
      <w:numFmt w:val="bullet"/>
      <w:lvlText w:val=""/>
      <w:lvlJc w:val="left"/>
      <w:pPr>
        <w:ind w:left="4652" w:hanging="360"/>
      </w:pPr>
      <w:rPr>
        <w:rFonts w:ascii="Wingdings" w:hAnsi="Wingdings" w:hint="default"/>
      </w:rPr>
    </w:lvl>
    <w:lvl w:ilvl="6" w:tplc="07EE9390" w:tentative="1">
      <w:start w:val="1"/>
      <w:numFmt w:val="bullet"/>
      <w:lvlText w:val=""/>
      <w:lvlJc w:val="left"/>
      <w:pPr>
        <w:ind w:left="5372" w:hanging="360"/>
      </w:pPr>
      <w:rPr>
        <w:rFonts w:ascii="Symbol" w:hAnsi="Symbol" w:hint="default"/>
      </w:rPr>
    </w:lvl>
    <w:lvl w:ilvl="7" w:tplc="5E68488C" w:tentative="1">
      <w:start w:val="1"/>
      <w:numFmt w:val="bullet"/>
      <w:lvlText w:val="o"/>
      <w:lvlJc w:val="left"/>
      <w:pPr>
        <w:ind w:left="6092" w:hanging="360"/>
      </w:pPr>
      <w:rPr>
        <w:rFonts w:ascii="Courier New" w:hAnsi="Courier New" w:cs="Courier New" w:hint="default"/>
      </w:rPr>
    </w:lvl>
    <w:lvl w:ilvl="8" w:tplc="7820D8AE" w:tentative="1">
      <w:start w:val="1"/>
      <w:numFmt w:val="bullet"/>
      <w:lvlText w:val=""/>
      <w:lvlJc w:val="left"/>
      <w:pPr>
        <w:ind w:left="6812" w:hanging="360"/>
      </w:pPr>
      <w:rPr>
        <w:rFonts w:ascii="Wingdings" w:hAnsi="Wingdings" w:hint="default"/>
      </w:rPr>
    </w:lvl>
  </w:abstractNum>
  <w:abstractNum w:abstractNumId="4" w15:restartNumberingAfterBreak="0">
    <w:nsid w:val="3A9805E5"/>
    <w:multiLevelType w:val="hybridMultilevel"/>
    <w:tmpl w:val="B02E7BBE"/>
    <w:lvl w:ilvl="0" w:tplc="32483B9C">
      <w:start w:val="1"/>
      <w:numFmt w:val="decimal"/>
      <w:pStyle w:val="ListParagraph"/>
      <w:lvlText w:val="%1."/>
      <w:lvlJc w:val="left"/>
      <w:pPr>
        <w:ind w:left="720" w:hanging="360"/>
      </w:pPr>
    </w:lvl>
    <w:lvl w:ilvl="1" w:tplc="37CA8DA8">
      <w:start w:val="1"/>
      <w:numFmt w:val="lowerLetter"/>
      <w:lvlText w:val="%2."/>
      <w:lvlJc w:val="left"/>
      <w:pPr>
        <w:ind w:left="1440" w:hanging="360"/>
      </w:pPr>
    </w:lvl>
    <w:lvl w:ilvl="2" w:tplc="F3EE8E06">
      <w:start w:val="1"/>
      <w:numFmt w:val="lowerRoman"/>
      <w:lvlText w:val="%3."/>
      <w:lvlJc w:val="left"/>
      <w:pPr>
        <w:ind w:left="2160" w:hanging="180"/>
      </w:pPr>
      <w:rPr>
        <w:rFonts w:hint="default"/>
      </w:rPr>
    </w:lvl>
    <w:lvl w:ilvl="3" w:tplc="0E26407E">
      <w:start w:val="1"/>
      <w:numFmt w:val="decimal"/>
      <w:lvlText w:val="%4."/>
      <w:lvlJc w:val="left"/>
      <w:pPr>
        <w:ind w:left="2880" w:hanging="360"/>
      </w:pPr>
    </w:lvl>
    <w:lvl w:ilvl="4" w:tplc="757CA56A">
      <w:start w:val="1"/>
      <w:numFmt w:val="lowerLetter"/>
      <w:lvlText w:val="%5."/>
      <w:lvlJc w:val="left"/>
      <w:pPr>
        <w:ind w:left="3600" w:hanging="360"/>
      </w:pPr>
    </w:lvl>
    <w:lvl w:ilvl="5" w:tplc="5CA6DA6A">
      <w:start w:val="1"/>
      <w:numFmt w:val="decimal"/>
      <w:lvlText w:val="%6"/>
      <w:lvlJc w:val="left"/>
      <w:pPr>
        <w:ind w:left="4845" w:hanging="705"/>
      </w:pPr>
      <w:rPr>
        <w:rFonts w:hint="default"/>
      </w:rPr>
    </w:lvl>
    <w:lvl w:ilvl="6" w:tplc="D310BC32" w:tentative="1">
      <w:start w:val="1"/>
      <w:numFmt w:val="decimal"/>
      <w:lvlText w:val="%7."/>
      <w:lvlJc w:val="left"/>
      <w:pPr>
        <w:ind w:left="5040" w:hanging="360"/>
      </w:pPr>
    </w:lvl>
    <w:lvl w:ilvl="7" w:tplc="5888F162" w:tentative="1">
      <w:start w:val="1"/>
      <w:numFmt w:val="lowerLetter"/>
      <w:lvlText w:val="%8."/>
      <w:lvlJc w:val="left"/>
      <w:pPr>
        <w:ind w:left="5760" w:hanging="360"/>
      </w:pPr>
    </w:lvl>
    <w:lvl w:ilvl="8" w:tplc="F84285A0" w:tentative="1">
      <w:start w:val="1"/>
      <w:numFmt w:val="lowerRoman"/>
      <w:lvlText w:val="%9."/>
      <w:lvlJc w:val="right"/>
      <w:pPr>
        <w:ind w:left="6480" w:hanging="180"/>
      </w:pPr>
    </w:lvl>
  </w:abstractNum>
  <w:abstractNum w:abstractNumId="5" w15:restartNumberingAfterBreak="0">
    <w:nsid w:val="3F6D0894"/>
    <w:multiLevelType w:val="multilevel"/>
    <w:tmpl w:val="92DA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563DEF"/>
    <w:multiLevelType w:val="hybridMultilevel"/>
    <w:tmpl w:val="62501B80"/>
    <w:lvl w:ilvl="0" w:tplc="12B628E8">
      <w:start w:val="1"/>
      <w:numFmt w:val="bullet"/>
      <w:pStyle w:val="BulletList"/>
      <w:lvlText w:val=""/>
      <w:lvlJc w:val="left"/>
      <w:pPr>
        <w:tabs>
          <w:tab w:val="num" w:pos="720"/>
        </w:tabs>
        <w:ind w:left="720" w:hanging="360"/>
      </w:pPr>
      <w:rPr>
        <w:rFonts w:ascii="Symbol" w:hAnsi="Symbol" w:hint="default"/>
      </w:rPr>
    </w:lvl>
    <w:lvl w:ilvl="1" w:tplc="D38EA0C6">
      <w:start w:val="1"/>
      <w:numFmt w:val="bullet"/>
      <w:lvlText w:val="o"/>
      <w:lvlJc w:val="left"/>
      <w:pPr>
        <w:tabs>
          <w:tab w:val="num" w:pos="1440"/>
        </w:tabs>
        <w:ind w:left="1440" w:hanging="360"/>
      </w:pPr>
      <w:rPr>
        <w:rFonts w:ascii="Courier New" w:hAnsi="Courier New" w:cs="Courier New" w:hint="default"/>
      </w:rPr>
    </w:lvl>
    <w:lvl w:ilvl="2" w:tplc="7D2A2C48">
      <w:start w:val="1"/>
      <w:numFmt w:val="bullet"/>
      <w:lvlText w:val=""/>
      <w:lvlJc w:val="left"/>
      <w:pPr>
        <w:tabs>
          <w:tab w:val="num" w:pos="2160"/>
        </w:tabs>
        <w:ind w:left="2160" w:hanging="360"/>
      </w:pPr>
      <w:rPr>
        <w:rFonts w:ascii="Wingdings" w:hAnsi="Wingdings" w:hint="default"/>
      </w:rPr>
    </w:lvl>
    <w:lvl w:ilvl="3" w:tplc="168C6E18">
      <w:start w:val="1"/>
      <w:numFmt w:val="bullet"/>
      <w:lvlText w:val=""/>
      <w:lvlJc w:val="left"/>
      <w:pPr>
        <w:tabs>
          <w:tab w:val="num" w:pos="2880"/>
        </w:tabs>
        <w:ind w:left="2880" w:hanging="360"/>
      </w:pPr>
      <w:rPr>
        <w:rFonts w:ascii="Symbol" w:hAnsi="Symbol" w:hint="default"/>
      </w:rPr>
    </w:lvl>
    <w:lvl w:ilvl="4" w:tplc="F25668AA">
      <w:start w:val="1"/>
      <w:numFmt w:val="bullet"/>
      <w:lvlText w:val="o"/>
      <w:lvlJc w:val="left"/>
      <w:pPr>
        <w:tabs>
          <w:tab w:val="num" w:pos="3600"/>
        </w:tabs>
        <w:ind w:left="3600" w:hanging="360"/>
      </w:pPr>
      <w:rPr>
        <w:rFonts w:ascii="Courier New" w:hAnsi="Courier New" w:cs="Courier New" w:hint="default"/>
      </w:rPr>
    </w:lvl>
    <w:lvl w:ilvl="5" w:tplc="B5FC09D8" w:tentative="1">
      <w:start w:val="1"/>
      <w:numFmt w:val="bullet"/>
      <w:lvlText w:val=""/>
      <w:lvlJc w:val="left"/>
      <w:pPr>
        <w:tabs>
          <w:tab w:val="num" w:pos="4320"/>
        </w:tabs>
        <w:ind w:left="4320" w:hanging="360"/>
      </w:pPr>
      <w:rPr>
        <w:rFonts w:ascii="Wingdings" w:hAnsi="Wingdings" w:hint="default"/>
      </w:rPr>
    </w:lvl>
    <w:lvl w:ilvl="6" w:tplc="FD5A2374" w:tentative="1">
      <w:start w:val="1"/>
      <w:numFmt w:val="bullet"/>
      <w:lvlText w:val=""/>
      <w:lvlJc w:val="left"/>
      <w:pPr>
        <w:tabs>
          <w:tab w:val="num" w:pos="5040"/>
        </w:tabs>
        <w:ind w:left="5040" w:hanging="360"/>
      </w:pPr>
      <w:rPr>
        <w:rFonts w:ascii="Symbol" w:hAnsi="Symbol" w:hint="default"/>
      </w:rPr>
    </w:lvl>
    <w:lvl w:ilvl="7" w:tplc="9C281FF6" w:tentative="1">
      <w:start w:val="1"/>
      <w:numFmt w:val="bullet"/>
      <w:lvlText w:val="o"/>
      <w:lvlJc w:val="left"/>
      <w:pPr>
        <w:tabs>
          <w:tab w:val="num" w:pos="5760"/>
        </w:tabs>
        <w:ind w:left="5760" w:hanging="360"/>
      </w:pPr>
      <w:rPr>
        <w:rFonts w:ascii="Courier New" w:hAnsi="Courier New" w:cs="Courier New" w:hint="default"/>
      </w:rPr>
    </w:lvl>
    <w:lvl w:ilvl="8" w:tplc="911A15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069F5"/>
    <w:multiLevelType w:val="hybridMultilevel"/>
    <w:tmpl w:val="720828E2"/>
    <w:lvl w:ilvl="0" w:tplc="63DA0B2C">
      <w:start w:val="1"/>
      <w:numFmt w:val="decimal"/>
      <w:lvlText w:val="%1."/>
      <w:lvlJc w:val="left"/>
      <w:pPr>
        <w:ind w:left="360" w:hanging="360"/>
      </w:pPr>
    </w:lvl>
    <w:lvl w:ilvl="1" w:tplc="F8602A60" w:tentative="1">
      <w:start w:val="1"/>
      <w:numFmt w:val="lowerLetter"/>
      <w:lvlText w:val="%2."/>
      <w:lvlJc w:val="left"/>
      <w:pPr>
        <w:ind w:left="1080" w:hanging="360"/>
      </w:pPr>
    </w:lvl>
    <w:lvl w:ilvl="2" w:tplc="1F66D210" w:tentative="1">
      <w:start w:val="1"/>
      <w:numFmt w:val="lowerRoman"/>
      <w:lvlText w:val="%3."/>
      <w:lvlJc w:val="right"/>
      <w:pPr>
        <w:ind w:left="1800" w:hanging="180"/>
      </w:pPr>
    </w:lvl>
    <w:lvl w:ilvl="3" w:tplc="5810E3F6" w:tentative="1">
      <w:start w:val="1"/>
      <w:numFmt w:val="decimal"/>
      <w:lvlText w:val="%4."/>
      <w:lvlJc w:val="left"/>
      <w:pPr>
        <w:ind w:left="2520" w:hanging="360"/>
      </w:pPr>
    </w:lvl>
    <w:lvl w:ilvl="4" w:tplc="00F62882" w:tentative="1">
      <w:start w:val="1"/>
      <w:numFmt w:val="lowerLetter"/>
      <w:lvlText w:val="%5."/>
      <w:lvlJc w:val="left"/>
      <w:pPr>
        <w:ind w:left="3240" w:hanging="360"/>
      </w:pPr>
    </w:lvl>
    <w:lvl w:ilvl="5" w:tplc="83A613DE" w:tentative="1">
      <w:start w:val="1"/>
      <w:numFmt w:val="lowerRoman"/>
      <w:lvlText w:val="%6."/>
      <w:lvlJc w:val="right"/>
      <w:pPr>
        <w:ind w:left="3960" w:hanging="180"/>
      </w:pPr>
    </w:lvl>
    <w:lvl w:ilvl="6" w:tplc="683ADD4A" w:tentative="1">
      <w:start w:val="1"/>
      <w:numFmt w:val="decimal"/>
      <w:lvlText w:val="%7."/>
      <w:lvlJc w:val="left"/>
      <w:pPr>
        <w:ind w:left="4680" w:hanging="360"/>
      </w:pPr>
    </w:lvl>
    <w:lvl w:ilvl="7" w:tplc="EA626758" w:tentative="1">
      <w:start w:val="1"/>
      <w:numFmt w:val="lowerLetter"/>
      <w:lvlText w:val="%8."/>
      <w:lvlJc w:val="left"/>
      <w:pPr>
        <w:ind w:left="5400" w:hanging="360"/>
      </w:pPr>
    </w:lvl>
    <w:lvl w:ilvl="8" w:tplc="19287DCC" w:tentative="1">
      <w:start w:val="1"/>
      <w:numFmt w:val="lowerRoman"/>
      <w:lvlText w:val="%9."/>
      <w:lvlJc w:val="right"/>
      <w:pPr>
        <w:ind w:left="6120" w:hanging="180"/>
      </w:pPr>
    </w:lvl>
  </w:abstractNum>
  <w:abstractNum w:abstractNumId="8" w15:restartNumberingAfterBreak="0">
    <w:nsid w:val="5BAC2C21"/>
    <w:multiLevelType w:val="hybridMultilevel"/>
    <w:tmpl w:val="0B4240D4"/>
    <w:lvl w:ilvl="0" w:tplc="8AF8E0A6">
      <w:start w:val="1"/>
      <w:numFmt w:val="bullet"/>
      <w:lvlText w:val="-"/>
      <w:lvlJc w:val="left"/>
      <w:pPr>
        <w:ind w:left="720" w:hanging="360"/>
      </w:pPr>
      <w:rPr>
        <w:rFonts w:ascii="Times New Roman" w:eastAsiaTheme="minorHAnsi" w:hAnsi="Times New Roman" w:cs="Times New Roman" w:hint="default"/>
      </w:rPr>
    </w:lvl>
    <w:lvl w:ilvl="1" w:tplc="BEECEC28">
      <w:start w:val="1"/>
      <w:numFmt w:val="bullet"/>
      <w:lvlText w:val="o"/>
      <w:lvlJc w:val="left"/>
      <w:pPr>
        <w:ind w:left="1440" w:hanging="360"/>
      </w:pPr>
      <w:rPr>
        <w:rFonts w:ascii="Courier New" w:hAnsi="Courier New" w:cs="Courier New" w:hint="default"/>
      </w:rPr>
    </w:lvl>
    <w:lvl w:ilvl="2" w:tplc="69487894" w:tentative="1">
      <w:start w:val="1"/>
      <w:numFmt w:val="bullet"/>
      <w:lvlText w:val=""/>
      <w:lvlJc w:val="left"/>
      <w:pPr>
        <w:ind w:left="2160" w:hanging="360"/>
      </w:pPr>
      <w:rPr>
        <w:rFonts w:ascii="Wingdings" w:hAnsi="Wingdings" w:hint="default"/>
      </w:rPr>
    </w:lvl>
    <w:lvl w:ilvl="3" w:tplc="3AA67216" w:tentative="1">
      <w:start w:val="1"/>
      <w:numFmt w:val="bullet"/>
      <w:lvlText w:val=""/>
      <w:lvlJc w:val="left"/>
      <w:pPr>
        <w:ind w:left="2880" w:hanging="360"/>
      </w:pPr>
      <w:rPr>
        <w:rFonts w:ascii="Symbol" w:hAnsi="Symbol" w:hint="default"/>
      </w:rPr>
    </w:lvl>
    <w:lvl w:ilvl="4" w:tplc="376EC48E" w:tentative="1">
      <w:start w:val="1"/>
      <w:numFmt w:val="bullet"/>
      <w:lvlText w:val="o"/>
      <w:lvlJc w:val="left"/>
      <w:pPr>
        <w:ind w:left="3600" w:hanging="360"/>
      </w:pPr>
      <w:rPr>
        <w:rFonts w:ascii="Courier New" w:hAnsi="Courier New" w:cs="Courier New" w:hint="default"/>
      </w:rPr>
    </w:lvl>
    <w:lvl w:ilvl="5" w:tplc="0CB6FE5C" w:tentative="1">
      <w:start w:val="1"/>
      <w:numFmt w:val="bullet"/>
      <w:lvlText w:val=""/>
      <w:lvlJc w:val="left"/>
      <w:pPr>
        <w:ind w:left="4320" w:hanging="360"/>
      </w:pPr>
      <w:rPr>
        <w:rFonts w:ascii="Wingdings" w:hAnsi="Wingdings" w:hint="default"/>
      </w:rPr>
    </w:lvl>
    <w:lvl w:ilvl="6" w:tplc="D040A4EC" w:tentative="1">
      <w:start w:val="1"/>
      <w:numFmt w:val="bullet"/>
      <w:lvlText w:val=""/>
      <w:lvlJc w:val="left"/>
      <w:pPr>
        <w:ind w:left="5040" w:hanging="360"/>
      </w:pPr>
      <w:rPr>
        <w:rFonts w:ascii="Symbol" w:hAnsi="Symbol" w:hint="default"/>
      </w:rPr>
    </w:lvl>
    <w:lvl w:ilvl="7" w:tplc="6B447F8E" w:tentative="1">
      <w:start w:val="1"/>
      <w:numFmt w:val="bullet"/>
      <w:lvlText w:val="o"/>
      <w:lvlJc w:val="left"/>
      <w:pPr>
        <w:ind w:left="5760" w:hanging="360"/>
      </w:pPr>
      <w:rPr>
        <w:rFonts w:ascii="Courier New" w:hAnsi="Courier New" w:cs="Courier New" w:hint="default"/>
      </w:rPr>
    </w:lvl>
    <w:lvl w:ilvl="8" w:tplc="0A060614" w:tentative="1">
      <w:start w:val="1"/>
      <w:numFmt w:val="bullet"/>
      <w:lvlText w:val=""/>
      <w:lvlJc w:val="left"/>
      <w:pPr>
        <w:ind w:left="6480" w:hanging="360"/>
      </w:pPr>
      <w:rPr>
        <w:rFonts w:ascii="Wingdings" w:hAnsi="Wingdings" w:hint="default"/>
      </w:rPr>
    </w:lvl>
  </w:abstractNum>
  <w:abstractNum w:abstractNumId="9" w15:restartNumberingAfterBreak="0">
    <w:nsid w:val="5EC440FF"/>
    <w:multiLevelType w:val="multilevel"/>
    <w:tmpl w:val="ACCE0476"/>
    <w:lvl w:ilvl="0">
      <w:start w:val="1"/>
      <w:numFmt w:val="upperLetter"/>
      <w:lvlText w:val="Article %1."/>
      <w:lvlJc w:val="left"/>
      <w:pPr>
        <w:ind w:left="0" w:firstLine="0"/>
      </w:pPr>
      <w:rPr>
        <w:rFonts w:hint="default"/>
      </w:rPr>
    </w:lvl>
    <w:lvl w:ilvl="1">
      <w:start w:val="1"/>
      <w:numFmt w:val="upperLetter"/>
      <w:pStyle w:val="AppendixHeading"/>
      <w:suff w:val="space"/>
      <w:lvlText w:val="Appendix %2:"/>
      <w:lvlJc w:val="left"/>
      <w:pPr>
        <w:ind w:left="0" w:firstLine="0"/>
      </w:pPr>
      <w:rPr>
        <w:rFonts w:hint="default"/>
      </w:rPr>
    </w:lvl>
    <w:lvl w:ilvl="2">
      <w:start w:val="1"/>
      <w:numFmt w:val="decimal"/>
      <w:pStyle w:val="AppendixHeading2"/>
      <w:lvlText w:val="%2.%3"/>
      <w:lvlJc w:val="left"/>
      <w:pPr>
        <w:ind w:left="720" w:hanging="720"/>
      </w:pPr>
      <w:rPr>
        <w:rFonts w:hint="default"/>
      </w:rPr>
    </w:lvl>
    <w:lvl w:ilvl="3">
      <w:start w:val="1"/>
      <w:numFmt w:val="decimal"/>
      <w:pStyle w:val="AppendixHeading3"/>
      <w:lvlText w:val="%2.%3.%4"/>
      <w:lvlJc w:val="left"/>
      <w:pPr>
        <w:ind w:left="1080" w:hanging="1080"/>
      </w:pPr>
      <w:rPr>
        <w:rFonts w:hint="default"/>
        <w:sz w:val="22"/>
      </w:rPr>
    </w:lvl>
    <w:lvl w:ilvl="4">
      <w:start w:val="1"/>
      <w:numFmt w:val="decimal"/>
      <w:pStyle w:val="AppendixHeading4"/>
      <w:lvlText w:val="%2.%3.%4.%5"/>
      <w:lvlJc w:val="left"/>
      <w:pPr>
        <w:ind w:left="1080" w:hanging="108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5F505B61"/>
    <w:multiLevelType w:val="hybridMultilevel"/>
    <w:tmpl w:val="BE40217A"/>
    <w:lvl w:ilvl="0" w:tplc="EB1E78F8">
      <w:start w:val="1"/>
      <w:numFmt w:val="bullet"/>
      <w:lvlText w:val=""/>
      <w:lvlJc w:val="left"/>
      <w:pPr>
        <w:ind w:left="720" w:hanging="360"/>
      </w:pPr>
      <w:rPr>
        <w:rFonts w:ascii="Symbol" w:hAnsi="Symbol" w:hint="default"/>
      </w:rPr>
    </w:lvl>
    <w:lvl w:ilvl="1" w:tplc="314A7552">
      <w:numFmt w:val="bullet"/>
      <w:lvlText w:val="-"/>
      <w:lvlJc w:val="left"/>
      <w:pPr>
        <w:ind w:left="1440" w:hanging="360"/>
      </w:pPr>
      <w:rPr>
        <w:rFonts w:ascii="Calibri" w:eastAsiaTheme="minorHAnsi" w:hAnsi="Calibri" w:cs="Calibri" w:hint="default"/>
      </w:rPr>
    </w:lvl>
    <w:lvl w:ilvl="2" w:tplc="260E337A" w:tentative="1">
      <w:start w:val="1"/>
      <w:numFmt w:val="bullet"/>
      <w:lvlText w:val=""/>
      <w:lvlJc w:val="left"/>
      <w:pPr>
        <w:ind w:left="2160" w:hanging="360"/>
      </w:pPr>
      <w:rPr>
        <w:rFonts w:ascii="Wingdings" w:hAnsi="Wingdings" w:hint="default"/>
      </w:rPr>
    </w:lvl>
    <w:lvl w:ilvl="3" w:tplc="42ECCE40" w:tentative="1">
      <w:start w:val="1"/>
      <w:numFmt w:val="bullet"/>
      <w:lvlText w:val=""/>
      <w:lvlJc w:val="left"/>
      <w:pPr>
        <w:ind w:left="2880" w:hanging="360"/>
      </w:pPr>
      <w:rPr>
        <w:rFonts w:ascii="Symbol" w:hAnsi="Symbol" w:hint="default"/>
      </w:rPr>
    </w:lvl>
    <w:lvl w:ilvl="4" w:tplc="F9EEC578" w:tentative="1">
      <w:start w:val="1"/>
      <w:numFmt w:val="bullet"/>
      <w:lvlText w:val="o"/>
      <w:lvlJc w:val="left"/>
      <w:pPr>
        <w:ind w:left="3600" w:hanging="360"/>
      </w:pPr>
      <w:rPr>
        <w:rFonts w:ascii="Courier New" w:hAnsi="Courier New" w:cs="Courier New" w:hint="default"/>
      </w:rPr>
    </w:lvl>
    <w:lvl w:ilvl="5" w:tplc="2B70C234" w:tentative="1">
      <w:start w:val="1"/>
      <w:numFmt w:val="bullet"/>
      <w:lvlText w:val=""/>
      <w:lvlJc w:val="left"/>
      <w:pPr>
        <w:ind w:left="4320" w:hanging="360"/>
      </w:pPr>
      <w:rPr>
        <w:rFonts w:ascii="Wingdings" w:hAnsi="Wingdings" w:hint="default"/>
      </w:rPr>
    </w:lvl>
    <w:lvl w:ilvl="6" w:tplc="BE125754" w:tentative="1">
      <w:start w:val="1"/>
      <w:numFmt w:val="bullet"/>
      <w:lvlText w:val=""/>
      <w:lvlJc w:val="left"/>
      <w:pPr>
        <w:ind w:left="5040" w:hanging="360"/>
      </w:pPr>
      <w:rPr>
        <w:rFonts w:ascii="Symbol" w:hAnsi="Symbol" w:hint="default"/>
      </w:rPr>
    </w:lvl>
    <w:lvl w:ilvl="7" w:tplc="BCEC3E52" w:tentative="1">
      <w:start w:val="1"/>
      <w:numFmt w:val="bullet"/>
      <w:lvlText w:val="o"/>
      <w:lvlJc w:val="left"/>
      <w:pPr>
        <w:ind w:left="5760" w:hanging="360"/>
      </w:pPr>
      <w:rPr>
        <w:rFonts w:ascii="Courier New" w:hAnsi="Courier New" w:cs="Courier New" w:hint="default"/>
      </w:rPr>
    </w:lvl>
    <w:lvl w:ilvl="8" w:tplc="205242DE" w:tentative="1">
      <w:start w:val="1"/>
      <w:numFmt w:val="bullet"/>
      <w:lvlText w:val=""/>
      <w:lvlJc w:val="left"/>
      <w:pPr>
        <w:ind w:left="6480" w:hanging="360"/>
      </w:pPr>
      <w:rPr>
        <w:rFonts w:ascii="Wingdings" w:hAnsi="Wingdings" w:hint="default"/>
      </w:rPr>
    </w:lvl>
  </w:abstractNum>
  <w:abstractNum w:abstractNumId="11" w15:restartNumberingAfterBreak="0">
    <w:nsid w:val="707D442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436A83"/>
    <w:multiLevelType w:val="hybridMultilevel"/>
    <w:tmpl w:val="21CAC06E"/>
    <w:lvl w:ilvl="0" w:tplc="095ECC94">
      <w:start w:val="1"/>
      <w:numFmt w:val="decimal"/>
      <w:lvlText w:val="%1."/>
      <w:lvlJc w:val="left"/>
      <w:pPr>
        <w:ind w:left="720" w:hanging="360"/>
      </w:pPr>
      <w:rPr>
        <w:rFonts w:hint="default"/>
      </w:rPr>
    </w:lvl>
    <w:lvl w:ilvl="1" w:tplc="E8CA305A" w:tentative="1">
      <w:start w:val="1"/>
      <w:numFmt w:val="lowerLetter"/>
      <w:lvlText w:val="%2."/>
      <w:lvlJc w:val="left"/>
      <w:pPr>
        <w:ind w:left="1440" w:hanging="360"/>
      </w:pPr>
    </w:lvl>
    <w:lvl w:ilvl="2" w:tplc="4CBC4EF8" w:tentative="1">
      <w:start w:val="1"/>
      <w:numFmt w:val="lowerRoman"/>
      <w:lvlText w:val="%3."/>
      <w:lvlJc w:val="right"/>
      <w:pPr>
        <w:ind w:left="2160" w:hanging="180"/>
      </w:pPr>
    </w:lvl>
    <w:lvl w:ilvl="3" w:tplc="E8A20B08" w:tentative="1">
      <w:start w:val="1"/>
      <w:numFmt w:val="decimal"/>
      <w:lvlText w:val="%4."/>
      <w:lvlJc w:val="left"/>
      <w:pPr>
        <w:ind w:left="2880" w:hanging="360"/>
      </w:pPr>
    </w:lvl>
    <w:lvl w:ilvl="4" w:tplc="A25AFFA8" w:tentative="1">
      <w:start w:val="1"/>
      <w:numFmt w:val="lowerLetter"/>
      <w:lvlText w:val="%5."/>
      <w:lvlJc w:val="left"/>
      <w:pPr>
        <w:ind w:left="3600" w:hanging="360"/>
      </w:pPr>
    </w:lvl>
    <w:lvl w:ilvl="5" w:tplc="8FE83E58" w:tentative="1">
      <w:start w:val="1"/>
      <w:numFmt w:val="lowerRoman"/>
      <w:lvlText w:val="%6."/>
      <w:lvlJc w:val="right"/>
      <w:pPr>
        <w:ind w:left="4320" w:hanging="180"/>
      </w:pPr>
    </w:lvl>
    <w:lvl w:ilvl="6" w:tplc="4190B04E" w:tentative="1">
      <w:start w:val="1"/>
      <w:numFmt w:val="decimal"/>
      <w:lvlText w:val="%7."/>
      <w:lvlJc w:val="left"/>
      <w:pPr>
        <w:ind w:left="5040" w:hanging="360"/>
      </w:pPr>
    </w:lvl>
    <w:lvl w:ilvl="7" w:tplc="12628132" w:tentative="1">
      <w:start w:val="1"/>
      <w:numFmt w:val="lowerLetter"/>
      <w:lvlText w:val="%8."/>
      <w:lvlJc w:val="left"/>
      <w:pPr>
        <w:ind w:left="5760" w:hanging="360"/>
      </w:pPr>
    </w:lvl>
    <w:lvl w:ilvl="8" w:tplc="CD4679F6" w:tentative="1">
      <w:start w:val="1"/>
      <w:numFmt w:val="lowerRoman"/>
      <w:lvlText w:val="%9."/>
      <w:lvlJc w:val="right"/>
      <w:pPr>
        <w:ind w:left="6480" w:hanging="180"/>
      </w:pPr>
    </w:lvl>
  </w:abstractNum>
  <w:abstractNum w:abstractNumId="13" w15:restartNumberingAfterBreak="0">
    <w:nsid w:val="7CAB0852"/>
    <w:multiLevelType w:val="multilevel"/>
    <w:tmpl w:val="C086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865209"/>
    <w:multiLevelType w:val="hybridMultilevel"/>
    <w:tmpl w:val="F8961348"/>
    <w:lvl w:ilvl="0" w:tplc="62887744">
      <w:start w:val="1"/>
      <w:numFmt w:val="bullet"/>
      <w:pStyle w:val="BulletListSub-itemBottom"/>
      <w:lvlText w:val=""/>
      <w:lvlJc w:val="left"/>
      <w:pPr>
        <w:tabs>
          <w:tab w:val="num" w:pos="2492"/>
        </w:tabs>
        <w:ind w:left="2492" w:hanging="360"/>
      </w:pPr>
      <w:rPr>
        <w:rFonts w:ascii="Symbol" w:hAnsi="Symbol" w:hint="default"/>
      </w:rPr>
    </w:lvl>
    <w:lvl w:ilvl="1" w:tplc="ED742DD2">
      <w:start w:val="1"/>
      <w:numFmt w:val="bullet"/>
      <w:lvlText w:val="o"/>
      <w:lvlJc w:val="left"/>
      <w:pPr>
        <w:tabs>
          <w:tab w:val="num" w:pos="3212"/>
        </w:tabs>
        <w:ind w:left="3212" w:hanging="360"/>
      </w:pPr>
      <w:rPr>
        <w:rFonts w:ascii="Courier New" w:hAnsi="Courier New" w:cs="Courier New" w:hint="default"/>
      </w:rPr>
    </w:lvl>
    <w:lvl w:ilvl="2" w:tplc="1A660B28" w:tentative="1">
      <w:start w:val="1"/>
      <w:numFmt w:val="bullet"/>
      <w:lvlText w:val=""/>
      <w:lvlJc w:val="left"/>
      <w:pPr>
        <w:tabs>
          <w:tab w:val="num" w:pos="3932"/>
        </w:tabs>
        <w:ind w:left="3932" w:hanging="360"/>
      </w:pPr>
      <w:rPr>
        <w:rFonts w:ascii="Wingdings" w:hAnsi="Wingdings" w:hint="default"/>
      </w:rPr>
    </w:lvl>
    <w:lvl w:ilvl="3" w:tplc="67E66182" w:tentative="1">
      <w:start w:val="1"/>
      <w:numFmt w:val="bullet"/>
      <w:lvlText w:val=""/>
      <w:lvlJc w:val="left"/>
      <w:pPr>
        <w:tabs>
          <w:tab w:val="num" w:pos="4652"/>
        </w:tabs>
        <w:ind w:left="4652" w:hanging="360"/>
      </w:pPr>
      <w:rPr>
        <w:rFonts w:ascii="Symbol" w:hAnsi="Symbol" w:hint="default"/>
      </w:rPr>
    </w:lvl>
    <w:lvl w:ilvl="4" w:tplc="2CE0F736" w:tentative="1">
      <w:start w:val="1"/>
      <w:numFmt w:val="bullet"/>
      <w:lvlText w:val="o"/>
      <w:lvlJc w:val="left"/>
      <w:pPr>
        <w:tabs>
          <w:tab w:val="num" w:pos="5372"/>
        </w:tabs>
        <w:ind w:left="5372" w:hanging="360"/>
      </w:pPr>
      <w:rPr>
        <w:rFonts w:ascii="Courier New" w:hAnsi="Courier New" w:cs="Courier New" w:hint="default"/>
      </w:rPr>
    </w:lvl>
    <w:lvl w:ilvl="5" w:tplc="85CC8350" w:tentative="1">
      <w:start w:val="1"/>
      <w:numFmt w:val="bullet"/>
      <w:lvlText w:val=""/>
      <w:lvlJc w:val="left"/>
      <w:pPr>
        <w:tabs>
          <w:tab w:val="num" w:pos="6092"/>
        </w:tabs>
        <w:ind w:left="6092" w:hanging="360"/>
      </w:pPr>
      <w:rPr>
        <w:rFonts w:ascii="Wingdings" w:hAnsi="Wingdings" w:hint="default"/>
      </w:rPr>
    </w:lvl>
    <w:lvl w:ilvl="6" w:tplc="2D3A5E3E" w:tentative="1">
      <w:start w:val="1"/>
      <w:numFmt w:val="bullet"/>
      <w:lvlText w:val=""/>
      <w:lvlJc w:val="left"/>
      <w:pPr>
        <w:tabs>
          <w:tab w:val="num" w:pos="6812"/>
        </w:tabs>
        <w:ind w:left="6812" w:hanging="360"/>
      </w:pPr>
      <w:rPr>
        <w:rFonts w:ascii="Symbol" w:hAnsi="Symbol" w:hint="default"/>
      </w:rPr>
    </w:lvl>
    <w:lvl w:ilvl="7" w:tplc="DB9C9DD2" w:tentative="1">
      <w:start w:val="1"/>
      <w:numFmt w:val="bullet"/>
      <w:lvlText w:val="o"/>
      <w:lvlJc w:val="left"/>
      <w:pPr>
        <w:tabs>
          <w:tab w:val="num" w:pos="7532"/>
        </w:tabs>
        <w:ind w:left="7532" w:hanging="360"/>
      </w:pPr>
      <w:rPr>
        <w:rFonts w:ascii="Courier New" w:hAnsi="Courier New" w:cs="Courier New" w:hint="default"/>
      </w:rPr>
    </w:lvl>
    <w:lvl w:ilvl="8" w:tplc="1DF6E268" w:tentative="1">
      <w:start w:val="1"/>
      <w:numFmt w:val="bullet"/>
      <w:lvlText w:val=""/>
      <w:lvlJc w:val="left"/>
      <w:pPr>
        <w:tabs>
          <w:tab w:val="num" w:pos="8252"/>
        </w:tabs>
        <w:ind w:left="8252" w:hanging="360"/>
      </w:pPr>
      <w:rPr>
        <w:rFonts w:ascii="Wingdings" w:hAnsi="Wingdings" w:hint="default"/>
      </w:rPr>
    </w:lvl>
  </w:abstractNum>
  <w:num w:numId="1" w16cid:durableId="1517379232">
    <w:abstractNumId w:val="0"/>
  </w:num>
  <w:num w:numId="2" w16cid:durableId="818305607">
    <w:abstractNumId w:val="9"/>
  </w:num>
  <w:num w:numId="3" w16cid:durableId="815992523">
    <w:abstractNumId w:val="0"/>
  </w:num>
  <w:num w:numId="4" w16cid:durableId="1672877894">
    <w:abstractNumId w:val="9"/>
  </w:num>
  <w:num w:numId="5" w16cid:durableId="800465782">
    <w:abstractNumId w:val="0"/>
  </w:num>
  <w:num w:numId="6" w16cid:durableId="1363938525">
    <w:abstractNumId w:val="9"/>
  </w:num>
  <w:num w:numId="7" w16cid:durableId="955454314">
    <w:abstractNumId w:val="0"/>
  </w:num>
  <w:num w:numId="8" w16cid:durableId="933434994">
    <w:abstractNumId w:val="9"/>
  </w:num>
  <w:num w:numId="9" w16cid:durableId="1441756217">
    <w:abstractNumId w:val="6"/>
  </w:num>
  <w:num w:numId="10" w16cid:durableId="1440681196">
    <w:abstractNumId w:val="6"/>
  </w:num>
  <w:num w:numId="11" w16cid:durableId="47192193">
    <w:abstractNumId w:val="3"/>
  </w:num>
  <w:num w:numId="12" w16cid:durableId="1734354869">
    <w:abstractNumId w:val="14"/>
  </w:num>
  <w:num w:numId="13" w16cid:durableId="334579167">
    <w:abstractNumId w:val="4"/>
  </w:num>
  <w:num w:numId="14" w16cid:durableId="994458189">
    <w:abstractNumId w:val="12"/>
  </w:num>
  <w:num w:numId="15" w16cid:durableId="807555832">
    <w:abstractNumId w:val="10"/>
  </w:num>
  <w:num w:numId="16" w16cid:durableId="140856699">
    <w:abstractNumId w:val="1"/>
  </w:num>
  <w:num w:numId="17" w16cid:durableId="546338442">
    <w:abstractNumId w:val="5"/>
  </w:num>
  <w:num w:numId="18" w16cid:durableId="1531189498">
    <w:abstractNumId w:val="7"/>
  </w:num>
  <w:num w:numId="19" w16cid:durableId="2036153866">
    <w:abstractNumId w:val="8"/>
  </w:num>
  <w:num w:numId="20" w16cid:durableId="708804443">
    <w:abstractNumId w:val="13"/>
  </w:num>
  <w:num w:numId="21" w16cid:durableId="1508641206">
    <w:abstractNumId w:val="11"/>
  </w:num>
  <w:num w:numId="22" w16cid:durableId="1749187085">
    <w:abstractNumId w:val="2"/>
  </w:num>
  <w:num w:numId="23" w16cid:durableId="452138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12"/>
    <w:rsid w:val="00006811"/>
    <w:rsid w:val="000139C2"/>
    <w:rsid w:val="00017C91"/>
    <w:rsid w:val="00027FBA"/>
    <w:rsid w:val="00042DC0"/>
    <w:rsid w:val="000431FB"/>
    <w:rsid w:val="000504DA"/>
    <w:rsid w:val="000527B4"/>
    <w:rsid w:val="00055067"/>
    <w:rsid w:val="00060959"/>
    <w:rsid w:val="00064ED2"/>
    <w:rsid w:val="00070820"/>
    <w:rsid w:val="0007451D"/>
    <w:rsid w:val="0008741C"/>
    <w:rsid w:val="000913BA"/>
    <w:rsid w:val="000A6CD0"/>
    <w:rsid w:val="000B0812"/>
    <w:rsid w:val="000C0E14"/>
    <w:rsid w:val="000D15C9"/>
    <w:rsid w:val="000D501A"/>
    <w:rsid w:val="000D5DA4"/>
    <w:rsid w:val="000E327A"/>
    <w:rsid w:val="000E670E"/>
    <w:rsid w:val="000F6637"/>
    <w:rsid w:val="001060EF"/>
    <w:rsid w:val="0011730C"/>
    <w:rsid w:val="00117E18"/>
    <w:rsid w:val="00120952"/>
    <w:rsid w:val="00120BE4"/>
    <w:rsid w:val="00121FF1"/>
    <w:rsid w:val="0012508F"/>
    <w:rsid w:val="001275D3"/>
    <w:rsid w:val="00127E76"/>
    <w:rsid w:val="00140D37"/>
    <w:rsid w:val="001629F9"/>
    <w:rsid w:val="00163868"/>
    <w:rsid w:val="00164873"/>
    <w:rsid w:val="00171064"/>
    <w:rsid w:val="001757AC"/>
    <w:rsid w:val="00180C0D"/>
    <w:rsid w:val="00180E3D"/>
    <w:rsid w:val="001827C8"/>
    <w:rsid w:val="0018313E"/>
    <w:rsid w:val="00184012"/>
    <w:rsid w:val="001861C1"/>
    <w:rsid w:val="00186556"/>
    <w:rsid w:val="001902F9"/>
    <w:rsid w:val="00192888"/>
    <w:rsid w:val="001950EC"/>
    <w:rsid w:val="001A19A9"/>
    <w:rsid w:val="001A54D8"/>
    <w:rsid w:val="001B1C02"/>
    <w:rsid w:val="001B1C7E"/>
    <w:rsid w:val="001B5C32"/>
    <w:rsid w:val="001C6DFD"/>
    <w:rsid w:val="001D0303"/>
    <w:rsid w:val="001D0FFB"/>
    <w:rsid w:val="001D2FFC"/>
    <w:rsid w:val="001E195F"/>
    <w:rsid w:val="001F1493"/>
    <w:rsid w:val="001F6009"/>
    <w:rsid w:val="0021018E"/>
    <w:rsid w:val="002110F3"/>
    <w:rsid w:val="00212051"/>
    <w:rsid w:val="00212327"/>
    <w:rsid w:val="002139AE"/>
    <w:rsid w:val="00222E12"/>
    <w:rsid w:val="00235FB0"/>
    <w:rsid w:val="0023696C"/>
    <w:rsid w:val="0024276D"/>
    <w:rsid w:val="00255078"/>
    <w:rsid w:val="0026328F"/>
    <w:rsid w:val="00281894"/>
    <w:rsid w:val="00283A91"/>
    <w:rsid w:val="002950B2"/>
    <w:rsid w:val="002956FC"/>
    <w:rsid w:val="002A01FE"/>
    <w:rsid w:val="002B3F35"/>
    <w:rsid w:val="002B54F1"/>
    <w:rsid w:val="002C487C"/>
    <w:rsid w:val="002D7329"/>
    <w:rsid w:val="002E2EAB"/>
    <w:rsid w:val="00305AA5"/>
    <w:rsid w:val="00323105"/>
    <w:rsid w:val="003239F3"/>
    <w:rsid w:val="003304DD"/>
    <w:rsid w:val="003524CB"/>
    <w:rsid w:val="00354132"/>
    <w:rsid w:val="00362999"/>
    <w:rsid w:val="00362CA0"/>
    <w:rsid w:val="003661A5"/>
    <w:rsid w:val="00367C37"/>
    <w:rsid w:val="003818BE"/>
    <w:rsid w:val="00381FD3"/>
    <w:rsid w:val="00382EB8"/>
    <w:rsid w:val="003A0AE2"/>
    <w:rsid w:val="003A11E7"/>
    <w:rsid w:val="003A2476"/>
    <w:rsid w:val="003A3007"/>
    <w:rsid w:val="003A62B0"/>
    <w:rsid w:val="003B18A0"/>
    <w:rsid w:val="003B3CF4"/>
    <w:rsid w:val="003B6B58"/>
    <w:rsid w:val="003C01AA"/>
    <w:rsid w:val="003D4B3C"/>
    <w:rsid w:val="003D509A"/>
    <w:rsid w:val="003E6EC9"/>
    <w:rsid w:val="003F48C8"/>
    <w:rsid w:val="003F4C6E"/>
    <w:rsid w:val="003F6564"/>
    <w:rsid w:val="00401174"/>
    <w:rsid w:val="00413E38"/>
    <w:rsid w:val="004164D8"/>
    <w:rsid w:val="00433C68"/>
    <w:rsid w:val="00440F45"/>
    <w:rsid w:val="00442986"/>
    <w:rsid w:val="004527B5"/>
    <w:rsid w:val="004539C2"/>
    <w:rsid w:val="004610F9"/>
    <w:rsid w:val="00465A42"/>
    <w:rsid w:val="00477807"/>
    <w:rsid w:val="0048679F"/>
    <w:rsid w:val="00497FE9"/>
    <w:rsid w:val="004A359E"/>
    <w:rsid w:val="004A5FD0"/>
    <w:rsid w:val="004A6106"/>
    <w:rsid w:val="004C070C"/>
    <w:rsid w:val="004C2033"/>
    <w:rsid w:val="004C2049"/>
    <w:rsid w:val="004D2F28"/>
    <w:rsid w:val="004D59B1"/>
    <w:rsid w:val="004F0168"/>
    <w:rsid w:val="00505C74"/>
    <w:rsid w:val="00506CAC"/>
    <w:rsid w:val="00515874"/>
    <w:rsid w:val="00520A16"/>
    <w:rsid w:val="00520BEF"/>
    <w:rsid w:val="005252D1"/>
    <w:rsid w:val="005414B9"/>
    <w:rsid w:val="00542832"/>
    <w:rsid w:val="00556C3B"/>
    <w:rsid w:val="00557D07"/>
    <w:rsid w:val="00561DEE"/>
    <w:rsid w:val="00566B8F"/>
    <w:rsid w:val="005704D4"/>
    <w:rsid w:val="00573880"/>
    <w:rsid w:val="005879AA"/>
    <w:rsid w:val="00590125"/>
    <w:rsid w:val="005A1351"/>
    <w:rsid w:val="005A5880"/>
    <w:rsid w:val="005B3493"/>
    <w:rsid w:val="005B5827"/>
    <w:rsid w:val="005C0B5E"/>
    <w:rsid w:val="005C5927"/>
    <w:rsid w:val="005C5990"/>
    <w:rsid w:val="005D2E4B"/>
    <w:rsid w:val="005E0087"/>
    <w:rsid w:val="005E6040"/>
    <w:rsid w:val="005F4F19"/>
    <w:rsid w:val="006074E9"/>
    <w:rsid w:val="00617DA3"/>
    <w:rsid w:val="0062430D"/>
    <w:rsid w:val="006254AF"/>
    <w:rsid w:val="00631DC8"/>
    <w:rsid w:val="00636179"/>
    <w:rsid w:val="006432E0"/>
    <w:rsid w:val="00651783"/>
    <w:rsid w:val="006670B8"/>
    <w:rsid w:val="00675C2A"/>
    <w:rsid w:val="006820DA"/>
    <w:rsid w:val="0068277B"/>
    <w:rsid w:val="006945BB"/>
    <w:rsid w:val="006A1EAD"/>
    <w:rsid w:val="006A23D1"/>
    <w:rsid w:val="006B3DD9"/>
    <w:rsid w:val="006B5102"/>
    <w:rsid w:val="006C50FE"/>
    <w:rsid w:val="006D6CC6"/>
    <w:rsid w:val="006E5C97"/>
    <w:rsid w:val="006F1409"/>
    <w:rsid w:val="006F1E56"/>
    <w:rsid w:val="006F4A12"/>
    <w:rsid w:val="00711938"/>
    <w:rsid w:val="00712CAE"/>
    <w:rsid w:val="00716B53"/>
    <w:rsid w:val="00737DD2"/>
    <w:rsid w:val="007404EB"/>
    <w:rsid w:val="00754230"/>
    <w:rsid w:val="00754974"/>
    <w:rsid w:val="00766C29"/>
    <w:rsid w:val="00772215"/>
    <w:rsid w:val="00783986"/>
    <w:rsid w:val="0079061A"/>
    <w:rsid w:val="00791F75"/>
    <w:rsid w:val="0079664B"/>
    <w:rsid w:val="007A11ED"/>
    <w:rsid w:val="007A1ED1"/>
    <w:rsid w:val="007A307D"/>
    <w:rsid w:val="007A5BD9"/>
    <w:rsid w:val="007B2C5E"/>
    <w:rsid w:val="007C0EF7"/>
    <w:rsid w:val="007C50EF"/>
    <w:rsid w:val="007E77EA"/>
    <w:rsid w:val="007F0858"/>
    <w:rsid w:val="007F55C7"/>
    <w:rsid w:val="007F63CF"/>
    <w:rsid w:val="0080437D"/>
    <w:rsid w:val="008046FF"/>
    <w:rsid w:val="00816CBA"/>
    <w:rsid w:val="00820838"/>
    <w:rsid w:val="008227C0"/>
    <w:rsid w:val="0082383F"/>
    <w:rsid w:val="0082468F"/>
    <w:rsid w:val="0083226C"/>
    <w:rsid w:val="008414FB"/>
    <w:rsid w:val="0085327A"/>
    <w:rsid w:val="0085407B"/>
    <w:rsid w:val="008574F6"/>
    <w:rsid w:val="008611A2"/>
    <w:rsid w:val="0087077E"/>
    <w:rsid w:val="00885B3E"/>
    <w:rsid w:val="00890154"/>
    <w:rsid w:val="0089104D"/>
    <w:rsid w:val="00895B12"/>
    <w:rsid w:val="008B058A"/>
    <w:rsid w:val="008B59FA"/>
    <w:rsid w:val="008C4408"/>
    <w:rsid w:val="008D1EC0"/>
    <w:rsid w:val="008E3B63"/>
    <w:rsid w:val="008E5A21"/>
    <w:rsid w:val="008F27D2"/>
    <w:rsid w:val="008F542B"/>
    <w:rsid w:val="009023F2"/>
    <w:rsid w:val="0090594D"/>
    <w:rsid w:val="009163C6"/>
    <w:rsid w:val="00921576"/>
    <w:rsid w:val="009224A3"/>
    <w:rsid w:val="00922C12"/>
    <w:rsid w:val="00927974"/>
    <w:rsid w:val="0093326B"/>
    <w:rsid w:val="009544D4"/>
    <w:rsid w:val="00967904"/>
    <w:rsid w:val="009709BB"/>
    <w:rsid w:val="0097448C"/>
    <w:rsid w:val="00976FF5"/>
    <w:rsid w:val="00977BB2"/>
    <w:rsid w:val="0098554B"/>
    <w:rsid w:val="009A0D18"/>
    <w:rsid w:val="009A39EF"/>
    <w:rsid w:val="009A59C5"/>
    <w:rsid w:val="009A72B3"/>
    <w:rsid w:val="009B01A2"/>
    <w:rsid w:val="009B4329"/>
    <w:rsid w:val="009C77BC"/>
    <w:rsid w:val="009D4392"/>
    <w:rsid w:val="009D7A7A"/>
    <w:rsid w:val="009E16E3"/>
    <w:rsid w:val="009E1E02"/>
    <w:rsid w:val="009E1E58"/>
    <w:rsid w:val="009E3274"/>
    <w:rsid w:val="009F2A1C"/>
    <w:rsid w:val="009F5236"/>
    <w:rsid w:val="00A00F45"/>
    <w:rsid w:val="00A04CC7"/>
    <w:rsid w:val="00A13423"/>
    <w:rsid w:val="00A268AB"/>
    <w:rsid w:val="00A32C18"/>
    <w:rsid w:val="00A35FFC"/>
    <w:rsid w:val="00A40900"/>
    <w:rsid w:val="00A40A25"/>
    <w:rsid w:val="00A41EFA"/>
    <w:rsid w:val="00A52B94"/>
    <w:rsid w:val="00A542ED"/>
    <w:rsid w:val="00A554F4"/>
    <w:rsid w:val="00A56916"/>
    <w:rsid w:val="00A643C9"/>
    <w:rsid w:val="00A75884"/>
    <w:rsid w:val="00A8067E"/>
    <w:rsid w:val="00A80883"/>
    <w:rsid w:val="00A82D27"/>
    <w:rsid w:val="00A92186"/>
    <w:rsid w:val="00AB1F6E"/>
    <w:rsid w:val="00AB785D"/>
    <w:rsid w:val="00AD3918"/>
    <w:rsid w:val="00AD6142"/>
    <w:rsid w:val="00AE4779"/>
    <w:rsid w:val="00AE7D3B"/>
    <w:rsid w:val="00AF0246"/>
    <w:rsid w:val="00AF3827"/>
    <w:rsid w:val="00B00BE5"/>
    <w:rsid w:val="00B06041"/>
    <w:rsid w:val="00B20AFD"/>
    <w:rsid w:val="00B22D6A"/>
    <w:rsid w:val="00B26A31"/>
    <w:rsid w:val="00B35286"/>
    <w:rsid w:val="00B42497"/>
    <w:rsid w:val="00B428A3"/>
    <w:rsid w:val="00B55E6A"/>
    <w:rsid w:val="00B61880"/>
    <w:rsid w:val="00B67B9C"/>
    <w:rsid w:val="00B67C22"/>
    <w:rsid w:val="00B87EF5"/>
    <w:rsid w:val="00B914DE"/>
    <w:rsid w:val="00B949DC"/>
    <w:rsid w:val="00B961ED"/>
    <w:rsid w:val="00BA7291"/>
    <w:rsid w:val="00BB18AE"/>
    <w:rsid w:val="00BC4C5C"/>
    <w:rsid w:val="00BC5CA2"/>
    <w:rsid w:val="00BE48CC"/>
    <w:rsid w:val="00BE7F65"/>
    <w:rsid w:val="00BF405D"/>
    <w:rsid w:val="00BF5130"/>
    <w:rsid w:val="00C028BC"/>
    <w:rsid w:val="00C12E86"/>
    <w:rsid w:val="00C2230C"/>
    <w:rsid w:val="00C40F7B"/>
    <w:rsid w:val="00C41884"/>
    <w:rsid w:val="00C4414A"/>
    <w:rsid w:val="00C60FFD"/>
    <w:rsid w:val="00C726D3"/>
    <w:rsid w:val="00C73415"/>
    <w:rsid w:val="00C77D1F"/>
    <w:rsid w:val="00C83F17"/>
    <w:rsid w:val="00C85FF3"/>
    <w:rsid w:val="00C925D5"/>
    <w:rsid w:val="00C95248"/>
    <w:rsid w:val="00CB17B3"/>
    <w:rsid w:val="00CB557E"/>
    <w:rsid w:val="00CC46AF"/>
    <w:rsid w:val="00CC6258"/>
    <w:rsid w:val="00CE35A5"/>
    <w:rsid w:val="00D0064A"/>
    <w:rsid w:val="00D15BC2"/>
    <w:rsid w:val="00D224CC"/>
    <w:rsid w:val="00D2481D"/>
    <w:rsid w:val="00D27F70"/>
    <w:rsid w:val="00D30BD1"/>
    <w:rsid w:val="00D41735"/>
    <w:rsid w:val="00D46B59"/>
    <w:rsid w:val="00D5488A"/>
    <w:rsid w:val="00D567EC"/>
    <w:rsid w:val="00D57BA6"/>
    <w:rsid w:val="00D77CCA"/>
    <w:rsid w:val="00D91B90"/>
    <w:rsid w:val="00D962DF"/>
    <w:rsid w:val="00D977B6"/>
    <w:rsid w:val="00DA0ABE"/>
    <w:rsid w:val="00DA0B9E"/>
    <w:rsid w:val="00DA7F99"/>
    <w:rsid w:val="00DB13D8"/>
    <w:rsid w:val="00DB7A16"/>
    <w:rsid w:val="00DC1890"/>
    <w:rsid w:val="00DC3B32"/>
    <w:rsid w:val="00DC669C"/>
    <w:rsid w:val="00DC7769"/>
    <w:rsid w:val="00DD71E1"/>
    <w:rsid w:val="00DD777A"/>
    <w:rsid w:val="00DE2036"/>
    <w:rsid w:val="00DF4297"/>
    <w:rsid w:val="00E0336C"/>
    <w:rsid w:val="00E05779"/>
    <w:rsid w:val="00E20FC5"/>
    <w:rsid w:val="00E24F66"/>
    <w:rsid w:val="00E25505"/>
    <w:rsid w:val="00E262B1"/>
    <w:rsid w:val="00E30CE3"/>
    <w:rsid w:val="00E3121B"/>
    <w:rsid w:val="00E35C66"/>
    <w:rsid w:val="00E37C74"/>
    <w:rsid w:val="00E43777"/>
    <w:rsid w:val="00E52E4B"/>
    <w:rsid w:val="00E54B37"/>
    <w:rsid w:val="00E55EAC"/>
    <w:rsid w:val="00E63650"/>
    <w:rsid w:val="00E8462D"/>
    <w:rsid w:val="00EA300B"/>
    <w:rsid w:val="00EA70C5"/>
    <w:rsid w:val="00EB20B8"/>
    <w:rsid w:val="00EB6617"/>
    <w:rsid w:val="00EC293B"/>
    <w:rsid w:val="00EC2B3F"/>
    <w:rsid w:val="00EC64F5"/>
    <w:rsid w:val="00ED196E"/>
    <w:rsid w:val="00ED1A84"/>
    <w:rsid w:val="00ED52C9"/>
    <w:rsid w:val="00EE0C95"/>
    <w:rsid w:val="00EE37EA"/>
    <w:rsid w:val="00EE40D2"/>
    <w:rsid w:val="00EF3417"/>
    <w:rsid w:val="00EF6187"/>
    <w:rsid w:val="00F0285D"/>
    <w:rsid w:val="00F04191"/>
    <w:rsid w:val="00F43B80"/>
    <w:rsid w:val="00F52DAE"/>
    <w:rsid w:val="00F52E54"/>
    <w:rsid w:val="00F530C9"/>
    <w:rsid w:val="00F53C71"/>
    <w:rsid w:val="00F56B69"/>
    <w:rsid w:val="00F572D7"/>
    <w:rsid w:val="00F646F0"/>
    <w:rsid w:val="00F64A29"/>
    <w:rsid w:val="00F70E70"/>
    <w:rsid w:val="00F7140C"/>
    <w:rsid w:val="00F73431"/>
    <w:rsid w:val="00F834AA"/>
    <w:rsid w:val="00F85551"/>
    <w:rsid w:val="00F86528"/>
    <w:rsid w:val="00F942CC"/>
    <w:rsid w:val="00FB52BF"/>
    <w:rsid w:val="00FC3723"/>
    <w:rsid w:val="00FD5A77"/>
    <w:rsid w:val="00FF39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AB5B"/>
  <w15:chartTrackingRefBased/>
  <w15:docId w15:val="{0B5046E6-6DC6-4801-9FE1-114F3C6B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E9"/>
  </w:style>
  <w:style w:type="paragraph" w:styleId="Heading1">
    <w:name w:val="heading 1"/>
    <w:basedOn w:val="Normal"/>
    <w:next w:val="Normal"/>
    <w:link w:val="Heading1Char"/>
    <w:uiPriority w:val="9"/>
    <w:rsid w:val="00913B6A"/>
    <w:pPr>
      <w:keepNext/>
      <w:keepLines/>
      <w:spacing w:before="240" w:after="0"/>
      <w:ind w:left="360" w:hanging="360"/>
      <w:outlineLvl w:val="0"/>
    </w:pPr>
    <w:rPr>
      <w:rFonts w:ascii="Times New Roman" w:eastAsiaTheme="majorEastAsia" w:hAnsi="Times New Roman" w:cs="Times New Roman"/>
      <w:b/>
      <w:color w:val="2F5496" w:themeColor="accent1" w:themeShade="BF"/>
    </w:rPr>
  </w:style>
  <w:style w:type="paragraph" w:styleId="Heading2">
    <w:name w:val="heading 2"/>
    <w:aliases w:val="First Level Heading"/>
    <w:basedOn w:val="Normal"/>
    <w:next w:val="BodyText"/>
    <w:link w:val="Heading2Char"/>
    <w:uiPriority w:val="9"/>
    <w:unhideWhenUsed/>
    <w:qFormat/>
    <w:rsid w:val="00913B6A"/>
    <w:pPr>
      <w:keepNext/>
      <w:keepLines/>
      <w:spacing w:before="240" w:after="0"/>
      <w:ind w:left="360" w:hanging="360"/>
      <w:outlineLvl w:val="1"/>
    </w:pPr>
    <w:rPr>
      <w:rFonts w:ascii="Times New Roman" w:eastAsiaTheme="majorEastAsia" w:hAnsi="Times New Roman" w:cs="Times New Roman"/>
      <w:b/>
      <w:bCs/>
      <w:color w:val="2F5496" w:themeColor="accent1" w:themeShade="BF"/>
    </w:rPr>
  </w:style>
  <w:style w:type="paragraph" w:styleId="Heading3">
    <w:name w:val="heading 3"/>
    <w:aliases w:val="Second Level Heading"/>
    <w:basedOn w:val="Normal"/>
    <w:next w:val="BodyText"/>
    <w:link w:val="Heading3Char"/>
    <w:uiPriority w:val="10"/>
    <w:unhideWhenUsed/>
    <w:qFormat/>
    <w:rsid w:val="00913B6A"/>
    <w:pPr>
      <w:keepNext/>
      <w:keepLines/>
      <w:spacing w:before="40" w:after="0"/>
      <w:outlineLvl w:val="2"/>
    </w:pPr>
    <w:rPr>
      <w:rFonts w:ascii="Times New Roman" w:eastAsiaTheme="majorEastAsia" w:hAnsi="Times New Roman" w:cs="Times New Roman"/>
      <w:bCs/>
      <w:color w:val="2F5496" w:themeColor="accent1" w:themeShade="BF"/>
    </w:rPr>
  </w:style>
  <w:style w:type="paragraph" w:styleId="Heading4">
    <w:name w:val="heading 4"/>
    <w:aliases w:val="Third Level Heading"/>
    <w:basedOn w:val="Normal"/>
    <w:next w:val="BodyText"/>
    <w:link w:val="Heading4Char"/>
    <w:uiPriority w:val="11"/>
    <w:unhideWhenUsed/>
    <w:qFormat/>
    <w:rsid w:val="00913B6A"/>
    <w:pPr>
      <w:spacing w:after="0" w:line="240" w:lineRule="auto"/>
      <w:outlineLvl w:val="3"/>
    </w:pPr>
    <w:rPr>
      <w:rFonts w:ascii="Times New Roman" w:hAnsi="Times New Roman" w:cs="Times New Roman"/>
      <w:b/>
    </w:rPr>
  </w:style>
  <w:style w:type="paragraph" w:styleId="Heading5">
    <w:name w:val="heading 5"/>
    <w:aliases w:val="Fourth Level Heading"/>
    <w:basedOn w:val="Heading4"/>
    <w:next w:val="BodyText"/>
    <w:link w:val="Heading5Char"/>
    <w:uiPriority w:val="12"/>
    <w:unhideWhenUsed/>
    <w:qFormat/>
    <w:rsid w:val="00707D8D"/>
    <w:pPr>
      <w:numPr>
        <w:ilvl w:val="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irst Level Heading Char"/>
    <w:basedOn w:val="DefaultParagraphFont"/>
    <w:link w:val="Heading2"/>
    <w:uiPriority w:val="9"/>
    <w:rsid w:val="00913B6A"/>
    <w:rPr>
      <w:rFonts w:ascii="Times New Roman" w:eastAsiaTheme="majorEastAsia" w:hAnsi="Times New Roman" w:cs="Times New Roman"/>
      <w:b/>
      <w:bCs/>
      <w:color w:val="2F5496" w:themeColor="accent1" w:themeShade="BF"/>
    </w:rPr>
  </w:style>
  <w:style w:type="paragraph" w:styleId="BodyText">
    <w:name w:val="Body Text"/>
    <w:basedOn w:val="Normal"/>
    <w:link w:val="BodyTextChar"/>
    <w:uiPriority w:val="4"/>
    <w:qFormat/>
    <w:rsid w:val="00707D8D"/>
    <w:pPr>
      <w:spacing w:after="240" w:line="240" w:lineRule="auto"/>
      <w:ind w:left="720"/>
    </w:pPr>
    <w:rPr>
      <w:rFonts w:ascii="Times New Roman" w:hAnsi="Times New Roman"/>
    </w:rPr>
  </w:style>
  <w:style w:type="character" w:customStyle="1" w:styleId="BodyTextChar">
    <w:name w:val="Body Text Char"/>
    <w:basedOn w:val="DefaultParagraphFont"/>
    <w:link w:val="BodyText"/>
    <w:uiPriority w:val="4"/>
    <w:rsid w:val="00707D8D"/>
    <w:rPr>
      <w:rFonts w:ascii="Times New Roman" w:hAnsi="Times New Roman"/>
    </w:rPr>
  </w:style>
  <w:style w:type="paragraph" w:customStyle="1" w:styleId="AppendixHeading">
    <w:name w:val="Appendix_Heading"/>
    <w:basedOn w:val="Heading2"/>
    <w:next w:val="BodyText"/>
    <w:link w:val="AppendixHeadingChar"/>
    <w:uiPriority w:val="24"/>
    <w:qFormat/>
    <w:rsid w:val="00707D8D"/>
    <w:pPr>
      <w:numPr>
        <w:ilvl w:val="1"/>
        <w:numId w:val="8"/>
      </w:numPr>
      <w:spacing w:after="360"/>
      <w:jc w:val="center"/>
    </w:pPr>
    <w:rPr>
      <w:sz w:val="26"/>
      <w:szCs w:val="26"/>
    </w:rPr>
  </w:style>
  <w:style w:type="character" w:customStyle="1" w:styleId="AppendixHeadingChar">
    <w:name w:val="Appendix_Heading Char"/>
    <w:basedOn w:val="Heading2Char"/>
    <w:link w:val="AppendixHeading"/>
    <w:uiPriority w:val="24"/>
    <w:rsid w:val="00707D8D"/>
    <w:rPr>
      <w:rFonts w:ascii="Times New Roman" w:eastAsiaTheme="majorEastAsia" w:hAnsi="Times New Roman" w:cs="Times New Roman"/>
      <w:b/>
      <w:bCs/>
      <w:color w:val="2F5496" w:themeColor="accent1" w:themeShade="BF"/>
      <w:sz w:val="26"/>
      <w:szCs w:val="26"/>
    </w:rPr>
  </w:style>
  <w:style w:type="character" w:customStyle="1" w:styleId="Heading3Char">
    <w:name w:val="Heading 3 Char"/>
    <w:aliases w:val="Second Level Heading Char"/>
    <w:basedOn w:val="DefaultParagraphFont"/>
    <w:link w:val="Heading3"/>
    <w:uiPriority w:val="10"/>
    <w:rsid w:val="00913B6A"/>
    <w:rPr>
      <w:rFonts w:ascii="Times New Roman" w:eastAsiaTheme="majorEastAsia" w:hAnsi="Times New Roman" w:cs="Times New Roman"/>
      <w:bCs/>
      <w:color w:val="2F5496" w:themeColor="accent1" w:themeShade="BF"/>
    </w:rPr>
  </w:style>
  <w:style w:type="paragraph" w:customStyle="1" w:styleId="AppendixHeading2">
    <w:name w:val="Appendix_Heading_2"/>
    <w:basedOn w:val="Heading3"/>
    <w:next w:val="BodyText"/>
    <w:link w:val="AppendixHeading2Char"/>
    <w:uiPriority w:val="24"/>
    <w:qFormat/>
    <w:rsid w:val="00707D8D"/>
    <w:pPr>
      <w:numPr>
        <w:ilvl w:val="2"/>
        <w:numId w:val="8"/>
      </w:numPr>
      <w:tabs>
        <w:tab w:val="num" w:pos="360"/>
      </w:tabs>
      <w:ind w:left="0" w:firstLine="0"/>
    </w:pPr>
    <w:rPr>
      <w:sz w:val="24"/>
      <w:lang w:val="en-US"/>
    </w:rPr>
  </w:style>
  <w:style w:type="character" w:customStyle="1" w:styleId="AppendixHeading2Char">
    <w:name w:val="Appendix_Heading_2 Char"/>
    <w:basedOn w:val="Heading3Char"/>
    <w:link w:val="AppendixHeading2"/>
    <w:uiPriority w:val="24"/>
    <w:rsid w:val="00707D8D"/>
    <w:rPr>
      <w:rFonts w:ascii="Times New Roman" w:eastAsiaTheme="majorEastAsia" w:hAnsi="Times New Roman" w:cs="Times New Roman"/>
      <w:b w:val="0"/>
      <w:bCs/>
      <w:color w:val="2F5496" w:themeColor="accent1" w:themeShade="BF"/>
      <w:sz w:val="24"/>
      <w:lang w:val="en-US"/>
    </w:rPr>
  </w:style>
  <w:style w:type="character" w:customStyle="1" w:styleId="Heading4Char">
    <w:name w:val="Heading 4 Char"/>
    <w:aliases w:val="Third Level Heading Char"/>
    <w:basedOn w:val="DefaultParagraphFont"/>
    <w:link w:val="Heading4"/>
    <w:uiPriority w:val="11"/>
    <w:rsid w:val="00913B6A"/>
    <w:rPr>
      <w:rFonts w:ascii="Times New Roman" w:hAnsi="Times New Roman" w:cs="Times New Roman"/>
      <w:b/>
    </w:rPr>
  </w:style>
  <w:style w:type="paragraph" w:customStyle="1" w:styleId="AppendixHeading3">
    <w:name w:val="Appendix_Heading_3"/>
    <w:basedOn w:val="Heading4"/>
    <w:next w:val="Normal"/>
    <w:link w:val="AppendixHeading3Char"/>
    <w:uiPriority w:val="24"/>
    <w:qFormat/>
    <w:rsid w:val="00707D8D"/>
    <w:pPr>
      <w:numPr>
        <w:ilvl w:val="3"/>
        <w:numId w:val="8"/>
      </w:numPr>
    </w:pPr>
    <w:rPr>
      <w:lang w:val="en-US"/>
    </w:rPr>
  </w:style>
  <w:style w:type="character" w:customStyle="1" w:styleId="AppendixHeading3Char">
    <w:name w:val="Appendix_Heading_3 Char"/>
    <w:basedOn w:val="Heading4Char"/>
    <w:link w:val="AppendixHeading3"/>
    <w:uiPriority w:val="24"/>
    <w:rsid w:val="00707D8D"/>
    <w:rPr>
      <w:rFonts w:ascii="Times New Roman" w:hAnsi="Times New Roman" w:cs="Times New Roman"/>
      <w:b/>
      <w:lang w:val="en-US"/>
    </w:rPr>
  </w:style>
  <w:style w:type="character" w:customStyle="1" w:styleId="Heading5Char">
    <w:name w:val="Heading 5 Char"/>
    <w:aliases w:val="Fourth Level Heading Char"/>
    <w:basedOn w:val="DefaultParagraphFont"/>
    <w:link w:val="Heading5"/>
    <w:uiPriority w:val="12"/>
    <w:rsid w:val="00707D8D"/>
    <w:rPr>
      <w:rFonts w:ascii="Times New Roman" w:hAnsi="Times New Roman"/>
      <w:b/>
    </w:rPr>
  </w:style>
  <w:style w:type="paragraph" w:customStyle="1" w:styleId="AppendixHeading4">
    <w:name w:val="Appendix_Heading_4"/>
    <w:basedOn w:val="Heading5"/>
    <w:next w:val="Normal"/>
    <w:link w:val="AppendixHeading4Char"/>
    <w:uiPriority w:val="24"/>
    <w:qFormat/>
    <w:rsid w:val="00707D8D"/>
    <w:pPr>
      <w:numPr>
        <w:ilvl w:val="4"/>
        <w:numId w:val="8"/>
      </w:numPr>
    </w:pPr>
    <w:rPr>
      <w:lang w:val="en-US"/>
    </w:rPr>
  </w:style>
  <w:style w:type="character" w:customStyle="1" w:styleId="AppendixHeading4Char">
    <w:name w:val="Appendix_Heading_4 Char"/>
    <w:basedOn w:val="Heading5Char"/>
    <w:link w:val="AppendixHeading4"/>
    <w:uiPriority w:val="24"/>
    <w:rsid w:val="00707D8D"/>
    <w:rPr>
      <w:rFonts w:ascii="Times New Roman" w:hAnsi="Times New Roman"/>
      <w:b/>
      <w:lang w:val="en-US"/>
    </w:rPr>
  </w:style>
  <w:style w:type="paragraph" w:styleId="BalloonText">
    <w:name w:val="Balloon Text"/>
    <w:basedOn w:val="Normal"/>
    <w:link w:val="BalloonTextChar"/>
    <w:uiPriority w:val="99"/>
    <w:semiHidden/>
    <w:unhideWhenUsed/>
    <w:rsid w:val="00707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8D"/>
    <w:rPr>
      <w:rFonts w:ascii="Tahoma" w:hAnsi="Tahoma" w:cs="Tahoma"/>
      <w:sz w:val="16"/>
      <w:szCs w:val="16"/>
    </w:rPr>
  </w:style>
  <w:style w:type="paragraph" w:customStyle="1" w:styleId="BodyTextNoIndent">
    <w:name w:val="Body Text No Indent"/>
    <w:basedOn w:val="Normal"/>
    <w:link w:val="BodyTextNoIndentChar"/>
    <w:uiPriority w:val="4"/>
    <w:qFormat/>
    <w:rsid w:val="00707D8D"/>
    <w:pPr>
      <w:spacing w:after="240" w:line="240" w:lineRule="auto"/>
    </w:pPr>
    <w:rPr>
      <w:rFonts w:ascii="Times New Roman" w:hAnsi="Times New Roman"/>
      <w:lang w:val="en-US"/>
    </w:rPr>
  </w:style>
  <w:style w:type="character" w:customStyle="1" w:styleId="BodyTextNoIndentChar">
    <w:name w:val="Body Text No Indent Char"/>
    <w:basedOn w:val="BodyTextChar"/>
    <w:link w:val="BodyTextNoIndent"/>
    <w:uiPriority w:val="4"/>
    <w:rsid w:val="00707D8D"/>
    <w:rPr>
      <w:rFonts w:ascii="Times New Roman" w:hAnsi="Times New Roman"/>
      <w:lang w:val="en-US"/>
    </w:rPr>
  </w:style>
  <w:style w:type="paragraph" w:customStyle="1" w:styleId="BulletList">
    <w:name w:val="Bullet List"/>
    <w:basedOn w:val="Normal"/>
    <w:rsid w:val="00707D8D"/>
    <w:pPr>
      <w:numPr>
        <w:numId w:val="10"/>
      </w:numPr>
      <w:tabs>
        <w:tab w:val="left" w:pos="1080"/>
      </w:tabs>
      <w:spacing w:after="0" w:line="240" w:lineRule="auto"/>
    </w:pPr>
    <w:rPr>
      <w:rFonts w:ascii="Times New Roman" w:eastAsia="Times New Roman" w:hAnsi="Times New Roman" w:cs="Times New Roman"/>
      <w:color w:val="000000"/>
      <w:lang w:val="en"/>
    </w:rPr>
  </w:style>
  <w:style w:type="paragraph" w:customStyle="1" w:styleId="BulletListLastItem">
    <w:name w:val="Bullet List Last Item"/>
    <w:basedOn w:val="BulletList"/>
    <w:uiPriority w:val="4"/>
    <w:qFormat/>
    <w:rsid w:val="00707D8D"/>
    <w:pPr>
      <w:spacing w:after="240"/>
      <w:ind w:left="1080"/>
    </w:pPr>
  </w:style>
  <w:style w:type="paragraph" w:customStyle="1" w:styleId="BulletListSub-item">
    <w:name w:val="Bullet List Sub-item"/>
    <w:basedOn w:val="BulletList"/>
    <w:rsid w:val="00707D8D"/>
    <w:pPr>
      <w:numPr>
        <w:numId w:val="11"/>
      </w:numPr>
      <w:tabs>
        <w:tab w:val="clear" w:pos="1080"/>
        <w:tab w:val="left" w:pos="1440"/>
      </w:tabs>
    </w:pPr>
  </w:style>
  <w:style w:type="paragraph" w:customStyle="1" w:styleId="BulletListSub-itemBottom">
    <w:name w:val="Bullet List Sub-item Bottom"/>
    <w:basedOn w:val="Normal"/>
    <w:rsid w:val="00707D8D"/>
    <w:pPr>
      <w:numPr>
        <w:numId w:val="12"/>
      </w:numPr>
      <w:tabs>
        <w:tab w:val="left" w:pos="1440"/>
      </w:tabs>
      <w:spacing w:after="240" w:line="240" w:lineRule="auto"/>
    </w:pPr>
    <w:rPr>
      <w:rFonts w:ascii="Times New Roman" w:eastAsia="Times New Roman" w:hAnsi="Times New Roman" w:cs="Times New Roman"/>
      <w:color w:val="000000"/>
      <w:lang w:val="en"/>
    </w:rPr>
  </w:style>
  <w:style w:type="paragraph" w:styleId="Caption">
    <w:name w:val="caption"/>
    <w:basedOn w:val="Normal"/>
    <w:next w:val="BodyText"/>
    <w:uiPriority w:val="35"/>
    <w:unhideWhenUsed/>
    <w:qFormat/>
    <w:rsid w:val="00707D8D"/>
    <w:pPr>
      <w:keepNext/>
      <w:spacing w:after="240" w:line="240" w:lineRule="auto"/>
      <w:ind w:left="720"/>
    </w:pPr>
    <w:rPr>
      <w:rFonts w:ascii="Times New Roman" w:hAnsi="Times New Roman"/>
      <w:b/>
      <w:iCs/>
      <w:color w:val="000000" w:themeColor="text1"/>
    </w:rPr>
  </w:style>
  <w:style w:type="character" w:styleId="CommentReference">
    <w:name w:val="annotation reference"/>
    <w:basedOn w:val="DefaultParagraphFont"/>
    <w:uiPriority w:val="99"/>
    <w:unhideWhenUsed/>
    <w:rsid w:val="00707D8D"/>
    <w:rPr>
      <w:sz w:val="16"/>
      <w:szCs w:val="16"/>
    </w:rPr>
  </w:style>
  <w:style w:type="paragraph" w:styleId="CommentText">
    <w:name w:val="annotation text"/>
    <w:basedOn w:val="Normal"/>
    <w:link w:val="CommentTextChar"/>
    <w:uiPriority w:val="99"/>
    <w:unhideWhenUsed/>
    <w:rsid w:val="00707D8D"/>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707D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7D8D"/>
    <w:rPr>
      <w:b/>
      <w:bCs/>
    </w:rPr>
  </w:style>
  <w:style w:type="character" w:customStyle="1" w:styleId="CommentSubjectChar">
    <w:name w:val="Comment Subject Char"/>
    <w:basedOn w:val="CommentTextChar"/>
    <w:link w:val="CommentSubject"/>
    <w:uiPriority w:val="99"/>
    <w:semiHidden/>
    <w:rsid w:val="00707D8D"/>
    <w:rPr>
      <w:rFonts w:ascii="Times New Roman" w:hAnsi="Times New Roman"/>
      <w:b/>
      <w:bCs/>
      <w:sz w:val="20"/>
      <w:szCs w:val="20"/>
    </w:rPr>
  </w:style>
  <w:style w:type="character" w:styleId="Emphasis">
    <w:name w:val="Emphasis"/>
    <w:basedOn w:val="DefaultParagraphFont"/>
    <w:uiPriority w:val="20"/>
    <w:qFormat/>
    <w:rsid w:val="00707D8D"/>
    <w:rPr>
      <w:i/>
      <w:iCs/>
    </w:rPr>
  </w:style>
  <w:style w:type="character" w:styleId="EndnoteReference">
    <w:name w:val="endnote reference"/>
    <w:basedOn w:val="DefaultParagraphFont"/>
    <w:uiPriority w:val="99"/>
    <w:unhideWhenUsed/>
    <w:rsid w:val="00707D8D"/>
    <w:rPr>
      <w:vertAlign w:val="superscript"/>
    </w:rPr>
  </w:style>
  <w:style w:type="character" w:styleId="FollowedHyperlink">
    <w:name w:val="FollowedHyperlink"/>
    <w:basedOn w:val="DefaultParagraphFont"/>
    <w:uiPriority w:val="99"/>
    <w:semiHidden/>
    <w:unhideWhenUsed/>
    <w:rsid w:val="00707D8D"/>
    <w:rPr>
      <w:color w:val="954F72" w:themeColor="followedHyperlink"/>
      <w:u w:val="single"/>
    </w:rPr>
  </w:style>
  <w:style w:type="paragraph" w:styleId="Footer">
    <w:name w:val="footer"/>
    <w:basedOn w:val="Normal"/>
    <w:link w:val="FooterChar"/>
    <w:uiPriority w:val="99"/>
    <w:unhideWhenUsed/>
    <w:rsid w:val="00707D8D"/>
    <w:pPr>
      <w:tabs>
        <w:tab w:val="center" w:pos="4680"/>
        <w:tab w:val="right" w:pos="9360"/>
      </w:tabs>
      <w:spacing w:after="0" w:line="240" w:lineRule="auto"/>
    </w:pPr>
    <w:rPr>
      <w:rFonts w:ascii="Times New Roman" w:hAnsi="Times New Roman"/>
      <w:sz w:val="20"/>
    </w:rPr>
  </w:style>
  <w:style w:type="character" w:customStyle="1" w:styleId="FooterChar">
    <w:name w:val="Footer Char"/>
    <w:basedOn w:val="DefaultParagraphFont"/>
    <w:link w:val="Footer"/>
    <w:uiPriority w:val="99"/>
    <w:rsid w:val="00707D8D"/>
    <w:rPr>
      <w:rFonts w:ascii="Times New Roman" w:hAnsi="Times New Roman"/>
      <w:sz w:val="20"/>
    </w:rPr>
  </w:style>
  <w:style w:type="character" w:styleId="FootnoteReference">
    <w:name w:val="footnote reference"/>
    <w:basedOn w:val="DefaultParagraphFont"/>
    <w:uiPriority w:val="99"/>
    <w:semiHidden/>
    <w:unhideWhenUsed/>
    <w:rsid w:val="00707D8D"/>
    <w:rPr>
      <w:vertAlign w:val="superscript"/>
    </w:rPr>
  </w:style>
  <w:style w:type="paragraph" w:styleId="FootnoteText">
    <w:name w:val="footnote text"/>
    <w:basedOn w:val="Normal"/>
    <w:link w:val="FootnoteTextChar"/>
    <w:uiPriority w:val="99"/>
    <w:unhideWhenUsed/>
    <w:rsid w:val="00707D8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707D8D"/>
    <w:rPr>
      <w:rFonts w:ascii="Times New Roman" w:hAnsi="Times New Roman"/>
      <w:sz w:val="20"/>
      <w:szCs w:val="20"/>
    </w:rPr>
  </w:style>
  <w:style w:type="paragraph" w:customStyle="1" w:styleId="GlossaryTerm">
    <w:name w:val="Glossary Term"/>
    <w:basedOn w:val="Normal"/>
    <w:link w:val="GlossaryTermChar"/>
    <w:uiPriority w:val="24"/>
    <w:qFormat/>
    <w:rsid w:val="00707D8D"/>
    <w:pPr>
      <w:keepNext/>
      <w:spacing w:after="0" w:line="240" w:lineRule="auto"/>
    </w:pPr>
    <w:rPr>
      <w:rFonts w:ascii="Times New Roman" w:hAnsi="Times New Roman"/>
      <w:b/>
      <w:lang w:val="en-US"/>
    </w:rPr>
  </w:style>
  <w:style w:type="character" w:customStyle="1" w:styleId="GlossaryTermChar">
    <w:name w:val="Glossary Term Char"/>
    <w:basedOn w:val="DefaultParagraphFont"/>
    <w:link w:val="GlossaryTerm"/>
    <w:uiPriority w:val="24"/>
    <w:rsid w:val="00707D8D"/>
    <w:rPr>
      <w:rFonts w:ascii="Times New Roman" w:hAnsi="Times New Roman"/>
      <w:b/>
      <w:lang w:val="en-US"/>
    </w:rPr>
  </w:style>
  <w:style w:type="paragraph" w:customStyle="1" w:styleId="GlossaryDefinition">
    <w:name w:val="Glossary Definition"/>
    <w:basedOn w:val="GlossaryTerm"/>
    <w:link w:val="GlossaryDefinitionChar"/>
    <w:rsid w:val="00707D8D"/>
    <w:pPr>
      <w:keepNext w:val="0"/>
      <w:spacing w:after="240"/>
    </w:pPr>
    <w:rPr>
      <w:b w:val="0"/>
    </w:rPr>
  </w:style>
  <w:style w:type="character" w:customStyle="1" w:styleId="GlossaryDefinitionChar">
    <w:name w:val="Glossary Definition Char"/>
    <w:basedOn w:val="DefaultParagraphFont"/>
    <w:link w:val="GlossaryDefinition"/>
    <w:rsid w:val="00707D8D"/>
    <w:rPr>
      <w:rFonts w:ascii="Times New Roman" w:hAnsi="Times New Roman"/>
      <w:lang w:val="en-US"/>
    </w:rPr>
  </w:style>
  <w:style w:type="paragraph" w:styleId="Header">
    <w:name w:val="header"/>
    <w:basedOn w:val="Normal"/>
    <w:link w:val="HeaderChar"/>
    <w:uiPriority w:val="99"/>
    <w:unhideWhenUsed/>
    <w:rsid w:val="00707D8D"/>
    <w:pPr>
      <w:pBdr>
        <w:bottom w:val="single" w:sz="4" w:space="1" w:color="auto"/>
      </w:pBdr>
      <w:tabs>
        <w:tab w:val="right" w:pos="9360"/>
      </w:tabs>
      <w:spacing w:after="0" w:line="240" w:lineRule="auto"/>
    </w:pPr>
    <w:rPr>
      <w:rFonts w:ascii="Times New Roman" w:hAnsi="Times New Roman"/>
      <w:sz w:val="20"/>
    </w:rPr>
  </w:style>
  <w:style w:type="character" w:customStyle="1" w:styleId="HeaderChar">
    <w:name w:val="Header Char"/>
    <w:basedOn w:val="DefaultParagraphFont"/>
    <w:link w:val="Header"/>
    <w:uiPriority w:val="99"/>
    <w:rsid w:val="00707D8D"/>
    <w:rPr>
      <w:rFonts w:ascii="Times New Roman" w:hAnsi="Times New Roman"/>
      <w:sz w:val="20"/>
    </w:rPr>
  </w:style>
  <w:style w:type="character" w:customStyle="1" w:styleId="Heading1Char">
    <w:name w:val="Heading 1 Char"/>
    <w:basedOn w:val="DefaultParagraphFont"/>
    <w:link w:val="Heading1"/>
    <w:uiPriority w:val="9"/>
    <w:rsid w:val="00913B6A"/>
    <w:rPr>
      <w:rFonts w:ascii="Times New Roman" w:eastAsiaTheme="majorEastAsia" w:hAnsi="Times New Roman" w:cs="Times New Roman"/>
      <w:b/>
      <w:color w:val="2F5496" w:themeColor="accent1" w:themeShade="BF"/>
    </w:rPr>
  </w:style>
  <w:style w:type="paragraph" w:customStyle="1" w:styleId="HeadingLevel5NoNumbering">
    <w:name w:val="Heading Level 5 No Numbering"/>
    <w:basedOn w:val="Normal"/>
    <w:next w:val="Normal"/>
    <w:rsid w:val="00707D8D"/>
    <w:pPr>
      <w:keepNext/>
      <w:spacing w:after="240" w:line="240" w:lineRule="auto"/>
      <w:ind w:left="720"/>
    </w:pPr>
    <w:rPr>
      <w:rFonts w:ascii="Times New Roman Bold" w:eastAsia="Times New Roman" w:hAnsi="Times New Roman Bold" w:cs="Times New Roman"/>
      <w:b/>
      <w:szCs w:val="24"/>
      <w:u w:color="000080"/>
      <w:lang w:val="en-US"/>
    </w:rPr>
  </w:style>
  <w:style w:type="paragraph" w:customStyle="1" w:styleId="HeadingRequirementsorGuidanceLabel">
    <w:name w:val="Heading Requirements or Guidance Label"/>
    <w:basedOn w:val="Normal"/>
    <w:next w:val="Normal"/>
    <w:rsid w:val="00707D8D"/>
    <w:pPr>
      <w:keepNext/>
      <w:autoSpaceDE w:val="0"/>
      <w:autoSpaceDN w:val="0"/>
      <w:adjustRightInd w:val="0"/>
      <w:spacing w:before="240" w:after="120" w:line="240" w:lineRule="auto"/>
      <w:ind w:left="720"/>
      <w:outlineLvl w:val="2"/>
    </w:pPr>
    <w:rPr>
      <w:rFonts w:ascii="Times New Roman Bold" w:eastAsia="Times New Roman" w:hAnsi="Times New Roman Bold" w:cs="Times New Roman"/>
      <w:b/>
      <w:bCs/>
      <w:color w:val="000000"/>
      <w:lang w:val="en-US"/>
    </w:rPr>
  </w:style>
  <w:style w:type="character" w:styleId="Hyperlink">
    <w:name w:val="Hyperlink"/>
    <w:aliases w:val="RD Hyperlink"/>
    <w:uiPriority w:val="99"/>
    <w:rsid w:val="00707D8D"/>
    <w:rPr>
      <w:rFonts w:ascii="Times New Roman" w:hAnsi="Times New Roman"/>
      <w:dstrike w:val="0"/>
      <w:color w:val="0000FF"/>
      <w:sz w:val="22"/>
      <w:u w:val="single" w:color="0000FF"/>
      <w:vertAlign w:val="baseline"/>
    </w:rPr>
  </w:style>
  <w:style w:type="character" w:customStyle="1" w:styleId="Instructions">
    <w:name w:val="Instructions"/>
    <w:basedOn w:val="DefaultParagraphFont"/>
    <w:uiPriority w:val="29"/>
    <w:qFormat/>
    <w:rsid w:val="00707D8D"/>
    <w:rPr>
      <w:color w:val="0000FF"/>
    </w:rPr>
  </w:style>
  <w:style w:type="character" w:styleId="IntenseEmphasis">
    <w:name w:val="Intense Emphasis"/>
    <w:basedOn w:val="DefaultParagraphFont"/>
    <w:qFormat/>
    <w:rsid w:val="00707D8D"/>
    <w:rPr>
      <w:b/>
      <w:i/>
      <w:iCs/>
      <w:color w:val="auto"/>
    </w:rPr>
  </w:style>
  <w:style w:type="paragraph" w:customStyle="1" w:styleId="LicensingNoteText">
    <w:name w:val="Licensing Note Text"/>
    <w:basedOn w:val="BodyTextNoIndent"/>
    <w:next w:val="BodyTextNoIndent"/>
    <w:link w:val="LicensingNoteTextChar"/>
    <w:rsid w:val="00707D8D"/>
    <w:pPr>
      <w:pBdr>
        <w:top w:val="single" w:sz="4" w:space="6" w:color="auto"/>
        <w:left w:val="single" w:sz="4" w:space="6" w:color="auto"/>
        <w:bottom w:val="single" w:sz="4" w:space="6" w:color="auto"/>
        <w:right w:val="single" w:sz="4" w:space="6" w:color="auto"/>
      </w:pBdr>
      <w:shd w:val="clear" w:color="auto" w:fill="D9D9D9"/>
      <w:ind w:left="144" w:right="144"/>
    </w:pPr>
  </w:style>
  <w:style w:type="character" w:customStyle="1" w:styleId="LicensingNoteTextChar">
    <w:name w:val="Licensing Note Text Char"/>
    <w:basedOn w:val="DefaultParagraphFont"/>
    <w:link w:val="LicensingNoteText"/>
    <w:rsid w:val="00707D8D"/>
    <w:rPr>
      <w:rFonts w:ascii="Times New Roman" w:hAnsi="Times New Roman"/>
      <w:shd w:val="clear" w:color="auto" w:fill="D9D9D9"/>
      <w:lang w:val="en-US"/>
    </w:rPr>
  </w:style>
  <w:style w:type="paragraph" w:styleId="ListParagraph">
    <w:name w:val="List Paragraph"/>
    <w:basedOn w:val="Normal"/>
    <w:link w:val="ListParagraphChar"/>
    <w:qFormat/>
    <w:rsid w:val="00707D8D"/>
    <w:pPr>
      <w:numPr>
        <w:numId w:val="13"/>
      </w:numPr>
      <w:spacing w:after="240" w:line="240" w:lineRule="auto"/>
      <w:contextualSpacing/>
    </w:pPr>
    <w:rPr>
      <w:rFonts w:ascii="Times New Roman" w:hAnsi="Times New Roman"/>
    </w:rPr>
  </w:style>
  <w:style w:type="character" w:customStyle="1" w:styleId="ListParagraphChar">
    <w:name w:val="List Paragraph Char"/>
    <w:basedOn w:val="DefaultParagraphFont"/>
    <w:link w:val="ListParagraph"/>
    <w:uiPriority w:val="34"/>
    <w:rsid w:val="00707D8D"/>
    <w:rPr>
      <w:rFonts w:ascii="Times New Roman" w:hAnsi="Times New Roman"/>
    </w:rPr>
  </w:style>
  <w:style w:type="paragraph" w:customStyle="1" w:styleId="MainPageHeadingsNOTOC">
    <w:name w:val="Main Page Headings NO TOC"/>
    <w:basedOn w:val="Normal"/>
    <w:next w:val="BodyText"/>
    <w:uiPriority w:val="4"/>
    <w:qFormat/>
    <w:rsid w:val="00707D8D"/>
    <w:pPr>
      <w:keepNext/>
      <w:spacing w:after="240" w:line="240" w:lineRule="auto"/>
      <w:jc w:val="center"/>
    </w:pPr>
    <w:rPr>
      <w:rFonts w:ascii="Times New Roman Bold" w:hAnsi="Times New Roman Bold"/>
      <w:b/>
      <w:sz w:val="26"/>
    </w:rPr>
  </w:style>
  <w:style w:type="paragraph" w:customStyle="1" w:styleId="MainPageHeadingsTOC">
    <w:name w:val="Main Page Headings TOC"/>
    <w:basedOn w:val="MainPageHeadingsNOTOC"/>
    <w:next w:val="BodyText"/>
    <w:uiPriority w:val="4"/>
    <w:qFormat/>
    <w:rsid w:val="00707D8D"/>
  </w:style>
  <w:style w:type="paragraph" w:customStyle="1" w:styleId="Month">
    <w:name w:val="Month"/>
    <w:basedOn w:val="Normal"/>
    <w:link w:val="MonthChar"/>
    <w:semiHidden/>
    <w:qFormat/>
    <w:rsid w:val="00707D8D"/>
    <w:pPr>
      <w:spacing w:after="0" w:line="240" w:lineRule="auto"/>
    </w:pPr>
    <w:rPr>
      <w:rFonts w:ascii="Arial" w:hAnsi="Arial" w:cs="Arial"/>
      <w:noProof/>
      <w:sz w:val="24"/>
      <w:lang w:eastAsia="en-CA"/>
    </w:rPr>
  </w:style>
  <w:style w:type="character" w:customStyle="1" w:styleId="MonthChar">
    <w:name w:val="Month Char"/>
    <w:basedOn w:val="DefaultParagraphFont"/>
    <w:link w:val="Month"/>
    <w:semiHidden/>
    <w:rsid w:val="00707D8D"/>
    <w:rPr>
      <w:rFonts w:ascii="Arial" w:hAnsi="Arial" w:cs="Arial"/>
      <w:noProof/>
      <w:sz w:val="24"/>
      <w:lang w:eastAsia="en-CA"/>
    </w:rPr>
  </w:style>
  <w:style w:type="paragraph" w:styleId="NormalWeb">
    <w:name w:val="Normal (Web)"/>
    <w:basedOn w:val="Normal"/>
    <w:uiPriority w:val="99"/>
    <w:semiHidden/>
    <w:unhideWhenUsed/>
    <w:rsid w:val="00707D8D"/>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PlaceholderText">
    <w:name w:val="Placeholder Text"/>
    <w:basedOn w:val="DefaultParagraphFont"/>
    <w:uiPriority w:val="99"/>
    <w:semiHidden/>
    <w:rsid w:val="00707D8D"/>
    <w:rPr>
      <w:color w:val="808080"/>
    </w:rPr>
  </w:style>
  <w:style w:type="paragraph" w:customStyle="1" w:styleId="RDPrefaceAppendixTextWithSpace">
    <w:name w:val="RD Preface &amp; Appendix Text With Space"/>
    <w:basedOn w:val="Normal"/>
    <w:rsid w:val="00707D8D"/>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240" w:line="240" w:lineRule="auto"/>
    </w:pPr>
    <w:rPr>
      <w:rFonts w:ascii="Times New Roman" w:eastAsia="Times New Roman" w:hAnsi="Times New Roman" w:cs="Times New Roman"/>
      <w:color w:val="000000"/>
      <w:lang w:val="en-US"/>
    </w:rPr>
  </w:style>
  <w:style w:type="paragraph" w:customStyle="1" w:styleId="REGDOCNumberCoverPage">
    <w:name w:val="REGDOC Number (Cover Page)"/>
    <w:basedOn w:val="Normal"/>
    <w:next w:val="BodyText"/>
    <w:link w:val="REGDOCNumberCoverPageChar"/>
    <w:semiHidden/>
    <w:qFormat/>
    <w:rsid w:val="00707D8D"/>
    <w:pPr>
      <w:spacing w:before="360" w:after="200" w:line="240" w:lineRule="auto"/>
    </w:pPr>
    <w:rPr>
      <w:rFonts w:ascii="Arial" w:hAnsi="Arial" w:cs="Arial"/>
      <w:sz w:val="28"/>
    </w:rPr>
  </w:style>
  <w:style w:type="character" w:customStyle="1" w:styleId="REGDOCNumberCoverPageChar">
    <w:name w:val="REGDOC Number (Cover Page) Char"/>
    <w:basedOn w:val="DefaultParagraphFont"/>
    <w:link w:val="REGDOCNumberCoverPage"/>
    <w:semiHidden/>
    <w:rsid w:val="00707D8D"/>
    <w:rPr>
      <w:rFonts w:ascii="Arial" w:hAnsi="Arial" w:cs="Arial"/>
      <w:sz w:val="28"/>
    </w:rPr>
  </w:style>
  <w:style w:type="paragraph" w:customStyle="1" w:styleId="REGDOC-number">
    <w:name w:val="REGDOC-number"/>
    <w:basedOn w:val="REGDOCNumberCoverPage"/>
    <w:uiPriority w:val="4"/>
    <w:qFormat/>
    <w:rsid w:val="00707D8D"/>
  </w:style>
  <w:style w:type="paragraph" w:customStyle="1" w:styleId="Series">
    <w:name w:val="Series"/>
    <w:basedOn w:val="Normal"/>
    <w:link w:val="SeriesChar"/>
    <w:semiHidden/>
    <w:qFormat/>
    <w:rsid w:val="00707D8D"/>
    <w:pPr>
      <w:spacing w:after="0" w:line="240" w:lineRule="auto"/>
    </w:pPr>
    <w:rPr>
      <w:rFonts w:ascii="Arial" w:hAnsi="Arial" w:cs="Arial"/>
      <w:sz w:val="44"/>
    </w:rPr>
  </w:style>
  <w:style w:type="character" w:customStyle="1" w:styleId="SeriesChar">
    <w:name w:val="Series Char"/>
    <w:basedOn w:val="DefaultParagraphFont"/>
    <w:link w:val="Series"/>
    <w:semiHidden/>
    <w:rsid w:val="00707D8D"/>
    <w:rPr>
      <w:rFonts w:ascii="Arial" w:hAnsi="Arial" w:cs="Arial"/>
      <w:sz w:val="44"/>
    </w:rPr>
  </w:style>
  <w:style w:type="table" w:customStyle="1" w:styleId="StandardTable">
    <w:name w:val="Standard Table"/>
    <w:basedOn w:val="TableNormal"/>
    <w:uiPriority w:val="99"/>
    <w:rsid w:val="00707D8D"/>
    <w:pPr>
      <w:spacing w:after="0" w:line="240" w:lineRule="auto"/>
    </w:pPr>
    <w:rPr>
      <w:rFonts w:ascii="Times New Roman" w:hAnsi="Times New Roman"/>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character" w:styleId="Strong">
    <w:name w:val="Strong"/>
    <w:basedOn w:val="DefaultParagraphFont"/>
    <w:uiPriority w:val="1"/>
    <w:qFormat/>
    <w:rsid w:val="00707D8D"/>
    <w:rPr>
      <w:b/>
      <w:bCs/>
    </w:rPr>
  </w:style>
  <w:style w:type="paragraph" w:customStyle="1" w:styleId="TableRowNumbers">
    <w:name w:val="Table Row Numbers"/>
    <w:basedOn w:val="Normal"/>
    <w:uiPriority w:val="14"/>
    <w:rsid w:val="00707D8D"/>
    <w:pPr>
      <w:autoSpaceDE w:val="0"/>
      <w:autoSpaceDN w:val="0"/>
      <w:adjustRightInd w:val="0"/>
      <w:spacing w:before="80" w:after="40" w:line="240" w:lineRule="auto"/>
      <w:ind w:right="43"/>
      <w:jc w:val="center"/>
    </w:pPr>
    <w:rPr>
      <w:rFonts w:ascii="Times New Roman" w:eastAsia="Times New Roman" w:hAnsi="Times New Roman" w:cs="Times New Roman"/>
      <w:color w:val="000000"/>
      <w:szCs w:val="20"/>
      <w:lang w:val="en-US"/>
    </w:rPr>
  </w:style>
  <w:style w:type="paragraph" w:customStyle="1" w:styleId="TableText">
    <w:name w:val="Table Text"/>
    <w:basedOn w:val="Normal"/>
    <w:link w:val="TableTextChar"/>
    <w:uiPriority w:val="14"/>
    <w:qFormat/>
    <w:rsid w:val="00707D8D"/>
    <w:pPr>
      <w:tabs>
        <w:tab w:val="left" w:pos="180"/>
        <w:tab w:val="left" w:pos="360"/>
        <w:tab w:val="left" w:pos="540"/>
        <w:tab w:val="left" w:pos="720"/>
      </w:tabs>
      <w:autoSpaceDE w:val="0"/>
      <w:autoSpaceDN w:val="0"/>
      <w:adjustRightInd w:val="0"/>
      <w:spacing w:before="120" w:after="120" w:line="240" w:lineRule="auto"/>
    </w:pPr>
    <w:rPr>
      <w:rFonts w:ascii="Times New Roman" w:eastAsia="Times New Roman" w:hAnsi="Times New Roman" w:cs="Times New Roman"/>
      <w:color w:val="000000"/>
      <w:szCs w:val="20"/>
      <w:lang w:val="en-US"/>
    </w:rPr>
  </w:style>
  <w:style w:type="character" w:customStyle="1" w:styleId="TableTextChar">
    <w:name w:val="Table Text Char"/>
    <w:basedOn w:val="DefaultParagraphFont"/>
    <w:link w:val="TableText"/>
    <w:uiPriority w:val="14"/>
    <w:rsid w:val="00707D8D"/>
    <w:rPr>
      <w:rFonts w:ascii="Times New Roman" w:eastAsia="Times New Roman" w:hAnsi="Times New Roman" w:cs="Times New Roman"/>
      <w:color w:val="000000"/>
      <w:szCs w:val="20"/>
      <w:lang w:val="en-US"/>
    </w:rPr>
  </w:style>
  <w:style w:type="paragraph" w:customStyle="1" w:styleId="TableTopCells">
    <w:name w:val="Table Top Cells"/>
    <w:basedOn w:val="Normal"/>
    <w:uiPriority w:val="14"/>
    <w:rsid w:val="00707D8D"/>
    <w:pPr>
      <w:keepNext/>
      <w:autoSpaceDE w:val="0"/>
      <w:autoSpaceDN w:val="0"/>
      <w:adjustRightInd w:val="0"/>
      <w:spacing w:before="120" w:after="120" w:line="240" w:lineRule="auto"/>
      <w:jc w:val="center"/>
    </w:pPr>
    <w:rPr>
      <w:rFonts w:ascii="Times New Roman" w:eastAsia="Times New Roman" w:hAnsi="Times New Roman" w:cs="Times New Roman"/>
      <w:b/>
      <w:bCs/>
      <w:color w:val="000000"/>
      <w:szCs w:val="20"/>
      <w:lang w:val="en-US"/>
    </w:rPr>
  </w:style>
  <w:style w:type="paragraph" w:styleId="Title">
    <w:name w:val="Title"/>
    <w:basedOn w:val="Normal"/>
    <w:next w:val="Normal"/>
    <w:link w:val="TitleChar"/>
    <w:uiPriority w:val="10"/>
    <w:qFormat/>
    <w:rsid w:val="00707D8D"/>
    <w:pPr>
      <w:spacing w:after="360" w:line="240" w:lineRule="auto"/>
      <w:jc w:val="center"/>
    </w:pPr>
    <w:rPr>
      <w:rFonts w:ascii="Times New Roman" w:hAnsi="Times New Roman"/>
      <w:b/>
      <w:sz w:val="26"/>
      <w:szCs w:val="26"/>
    </w:rPr>
  </w:style>
  <w:style w:type="character" w:customStyle="1" w:styleId="TitleChar">
    <w:name w:val="Title Char"/>
    <w:basedOn w:val="DefaultParagraphFont"/>
    <w:link w:val="Title"/>
    <w:uiPriority w:val="10"/>
    <w:rsid w:val="00707D8D"/>
    <w:rPr>
      <w:rFonts w:ascii="Times New Roman" w:hAnsi="Times New Roman"/>
      <w:b/>
      <w:sz w:val="26"/>
      <w:szCs w:val="26"/>
    </w:rPr>
  </w:style>
  <w:style w:type="paragraph" w:styleId="TOC1">
    <w:name w:val="toc 1"/>
    <w:basedOn w:val="Normal"/>
    <w:next w:val="Normal"/>
    <w:autoRedefine/>
    <w:uiPriority w:val="39"/>
    <w:unhideWhenUsed/>
    <w:rsid w:val="00707D8D"/>
    <w:pPr>
      <w:tabs>
        <w:tab w:val="left" w:pos="720"/>
        <w:tab w:val="right" w:leader="dot" w:pos="9350"/>
      </w:tabs>
      <w:spacing w:before="240" w:after="120" w:line="240" w:lineRule="auto"/>
      <w:ind w:left="720" w:hanging="720"/>
    </w:pPr>
    <w:rPr>
      <w:rFonts w:ascii="Times New Roman" w:hAnsi="Times New Roman"/>
      <w:b/>
      <w:noProof/>
    </w:rPr>
  </w:style>
  <w:style w:type="paragraph" w:styleId="TOC2">
    <w:name w:val="toc 2"/>
    <w:basedOn w:val="Normal"/>
    <w:next w:val="Normal"/>
    <w:autoRedefine/>
    <w:uiPriority w:val="39"/>
    <w:unhideWhenUsed/>
    <w:rsid w:val="00707D8D"/>
    <w:pPr>
      <w:tabs>
        <w:tab w:val="left" w:pos="1440"/>
        <w:tab w:val="right" w:leader="dot" w:pos="9350"/>
      </w:tabs>
      <w:spacing w:after="100" w:line="240" w:lineRule="auto"/>
      <w:ind w:left="1440" w:hanging="720"/>
    </w:pPr>
    <w:rPr>
      <w:rFonts w:ascii="Times New Roman" w:hAnsi="Times New Roman"/>
    </w:rPr>
  </w:style>
  <w:style w:type="paragraph" w:styleId="TOC3">
    <w:name w:val="toc 3"/>
    <w:basedOn w:val="Normal"/>
    <w:next w:val="Normal"/>
    <w:autoRedefine/>
    <w:uiPriority w:val="39"/>
    <w:unhideWhenUsed/>
    <w:rsid w:val="00707D8D"/>
    <w:pPr>
      <w:tabs>
        <w:tab w:val="left" w:pos="2160"/>
        <w:tab w:val="right" w:leader="dot" w:pos="9350"/>
      </w:tabs>
      <w:spacing w:after="100" w:line="240" w:lineRule="auto"/>
      <w:ind w:left="2160" w:hanging="720"/>
    </w:pPr>
    <w:rPr>
      <w:rFonts w:ascii="Times New Roman" w:hAnsi="Times New Roman"/>
    </w:rPr>
  </w:style>
  <w:style w:type="paragraph" w:styleId="TOC4">
    <w:name w:val="toc 4"/>
    <w:basedOn w:val="Normal"/>
    <w:next w:val="Normal"/>
    <w:autoRedefine/>
    <w:uiPriority w:val="39"/>
    <w:unhideWhenUsed/>
    <w:rsid w:val="00707D8D"/>
    <w:pPr>
      <w:tabs>
        <w:tab w:val="left" w:pos="2880"/>
        <w:tab w:val="right" w:leader="dot" w:pos="9350"/>
      </w:tabs>
      <w:spacing w:after="100" w:line="240" w:lineRule="auto"/>
      <w:ind w:left="2880" w:hanging="720"/>
    </w:pPr>
    <w:rPr>
      <w:rFonts w:ascii="Times New Roman" w:hAnsi="Times New Roman"/>
    </w:rPr>
  </w:style>
  <w:style w:type="character" w:customStyle="1" w:styleId="Mentionnonrsolue1">
    <w:name w:val="Mention non résolue1"/>
    <w:basedOn w:val="DefaultParagraphFont"/>
    <w:uiPriority w:val="99"/>
    <w:semiHidden/>
    <w:unhideWhenUsed/>
    <w:rsid w:val="001F31DB"/>
    <w:rPr>
      <w:color w:val="605E5C"/>
      <w:shd w:val="clear" w:color="auto" w:fill="E1DFDD"/>
    </w:rPr>
  </w:style>
  <w:style w:type="paragraph" w:styleId="Revision">
    <w:name w:val="Revision"/>
    <w:hidden/>
    <w:uiPriority w:val="99"/>
    <w:semiHidden/>
    <w:rsid w:val="002A69C3"/>
    <w:pPr>
      <w:spacing w:after="0" w:line="240" w:lineRule="auto"/>
    </w:pPr>
  </w:style>
  <w:style w:type="character" w:styleId="HTMLCite">
    <w:name w:val="HTML Cite"/>
    <w:basedOn w:val="DefaultParagraphFont"/>
    <w:uiPriority w:val="99"/>
    <w:semiHidden/>
    <w:unhideWhenUsed/>
    <w:rsid w:val="002A69C3"/>
    <w:rPr>
      <w:i/>
      <w:iCs/>
    </w:rPr>
  </w:style>
  <w:style w:type="paragraph" w:customStyle="1" w:styleId="ContactInfo">
    <w:name w:val="Contact Info"/>
    <w:basedOn w:val="Normal"/>
    <w:uiPriority w:val="1"/>
    <w:qFormat/>
    <w:rsid w:val="00BB0B8A"/>
    <w:pPr>
      <w:spacing w:after="0" w:line="240" w:lineRule="auto"/>
    </w:pPr>
    <w:rPr>
      <w:color w:val="FFFFFF" w:themeColor="background1"/>
      <w:kern w:val="20"/>
      <w:sz w:val="24"/>
      <w:szCs w:val="20"/>
      <w:lang w:val="en-US" w:eastAsia="ja-JP"/>
    </w:rPr>
  </w:style>
  <w:style w:type="paragraph" w:customStyle="1" w:styleId="MeetingInfo">
    <w:name w:val="Meeting Info"/>
    <w:basedOn w:val="Normal"/>
    <w:qFormat/>
    <w:rsid w:val="00BB0B8A"/>
    <w:pPr>
      <w:spacing w:before="40" w:after="0" w:line="240" w:lineRule="auto"/>
      <w:ind w:left="720"/>
    </w:pPr>
    <w:rPr>
      <w:color w:val="FFFFFF" w:themeColor="background1"/>
      <w:kern w:val="20"/>
      <w:sz w:val="24"/>
      <w:szCs w:val="20"/>
      <w:lang w:val="en-US" w:eastAsia="ja-JP"/>
    </w:rPr>
  </w:style>
  <w:style w:type="paragraph" w:customStyle="1" w:styleId="MeetingTimes">
    <w:name w:val="Meeting Times"/>
    <w:basedOn w:val="Normal"/>
    <w:qFormat/>
    <w:rsid w:val="00BB0B8A"/>
    <w:pPr>
      <w:spacing w:before="120" w:after="0" w:line="240" w:lineRule="auto"/>
    </w:pPr>
    <w:rPr>
      <w:b/>
      <w:kern w:val="20"/>
      <w:sz w:val="24"/>
      <w:szCs w:val="20"/>
      <w:lang w:val="en-US" w:eastAsia="ja-JP"/>
    </w:rPr>
  </w:style>
  <w:style w:type="paragraph" w:customStyle="1" w:styleId="ItemDescription">
    <w:name w:val="Item Description"/>
    <w:basedOn w:val="Normal"/>
    <w:qFormat/>
    <w:rsid w:val="00BB0B8A"/>
    <w:pPr>
      <w:spacing w:before="40" w:after="120" w:line="240" w:lineRule="auto"/>
      <w:ind w:right="360"/>
    </w:pPr>
    <w:rPr>
      <w:kern w:val="20"/>
      <w:sz w:val="24"/>
      <w:szCs w:val="20"/>
      <w:lang w:val="en-US" w:eastAsia="ja-JP"/>
    </w:rPr>
  </w:style>
  <w:style w:type="paragraph" w:customStyle="1" w:styleId="Location">
    <w:name w:val="Location"/>
    <w:basedOn w:val="Normal"/>
    <w:qFormat/>
    <w:rsid w:val="00BB0B8A"/>
    <w:pPr>
      <w:spacing w:before="40" w:after="120" w:line="240" w:lineRule="auto"/>
    </w:pPr>
    <w:rPr>
      <w:kern w:val="20"/>
      <w:sz w:val="24"/>
      <w:szCs w:val="20"/>
      <w:lang w:val="en-US" w:eastAsia="ja-JP"/>
    </w:rPr>
  </w:style>
  <w:style w:type="table" w:styleId="TableGrid">
    <w:name w:val="Table Grid"/>
    <w:basedOn w:val="TableNormal"/>
    <w:uiPriority w:val="39"/>
    <w:rsid w:val="0060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D6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clearsafety.gc.ca/fra/acts-and-regulations/consultation/history-regs/stakeholder-workhop-report-periodic.cfm" TargetMode="External"/><Relationship Id="rId13" Type="http://schemas.openxmlformats.org/officeDocument/2006/relationships/hyperlink" Target="https://www.parl.ca/legisinfo/fr/projet-de-loi/44-1/c-26" TargetMode="External"/><Relationship Id="rId18" Type="http://schemas.openxmlformats.org/officeDocument/2006/relationships/hyperlink" Target="https://laws.justice.gc.ca/fra/reglements/DORS-2019-285/TexteComplet.html" TargetMode="External"/><Relationship Id="rId26" Type="http://schemas.openxmlformats.org/officeDocument/2006/relationships/hyperlink" Target="http://www.nuclearsafety.gc.ca/eng/pdfs/IPPAS/Canadas-IPPAS-Mission-Report-2015-eng.pdf" TargetMode="External"/><Relationship Id="rId3" Type="http://schemas.openxmlformats.org/officeDocument/2006/relationships/styles" Target="styles.xml"/><Relationship Id="rId21" Type="http://schemas.openxmlformats.org/officeDocument/2006/relationships/hyperlink" Target="http://nuclearsafety.gc.ca/fra/acts-and-regulations/regulatory-documents/history/regdoc2-5-2.cf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azette.gc.ca/rp-pr/p1/2022/2022-11-12/html/reg1-fra.html" TargetMode="External"/><Relationship Id="rId17" Type="http://schemas.openxmlformats.org/officeDocument/2006/relationships/hyperlink" Target="https://laws-lois.justice.gc.ca/fra/lois/n-28.3/index.html" TargetMode="External"/><Relationship Id="rId25" Type="http://schemas.openxmlformats.org/officeDocument/2006/relationships/hyperlink" Target="https://www.iaea.org/fr/publications/8813/recommandations-de-securite-nucleaire-sur-la-protection-physique-des-matieres-nucleaires-et-des-installations-nucleaires-infcirc225revision-5"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aea.org/fr/publications/8813/recommandations-de-securite-nucleaire-sur-la-protection-physique-des-matieres-nucleaires-et-des-installations-nucleaires-infcirc225revision-5" TargetMode="External"/><Relationship Id="rId20" Type="http://schemas.openxmlformats.org/officeDocument/2006/relationships/hyperlink" Target="https://www.tbs-sct.canada.ca/pol/doc-fra.aspx?id=2811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ette.gc.ca/rp-pr/p1/2022/2022-11-12/html/reg1-fra.html" TargetMode="External"/><Relationship Id="rId24" Type="http://schemas.openxmlformats.org/officeDocument/2006/relationships/hyperlink" Target="http://nuclearsafety.gc.ca/fra/acts-and-regulations/consultation/DIS-22-02.cfm"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aea.org/sites/default/files/infcirc274r1_fr.pdf" TargetMode="External"/><Relationship Id="rId23" Type="http://schemas.openxmlformats.org/officeDocument/2006/relationships/hyperlink" Target="https://www.tbs-sct.canada.ca/pol/doc-fra.aspx?id=28115" TargetMode="External"/><Relationship Id="rId28" Type="http://schemas.openxmlformats.org/officeDocument/2006/relationships/hyperlink" Target="https://plandactionprm.ca/" TargetMode="External"/><Relationship Id="rId36" Type="http://schemas.openxmlformats.org/officeDocument/2006/relationships/glossaryDocument" Target="glossary/document.xml"/><Relationship Id="rId10" Type="http://schemas.openxmlformats.org/officeDocument/2006/relationships/hyperlink" Target="http://nuclearsafety.gc.ca/fra/acts-and-regulations/consultation/DIS-22-02.cfm" TargetMode="External"/><Relationship Id="rId19" Type="http://schemas.openxmlformats.org/officeDocument/2006/relationships/hyperlink" Target="https://www.tbs-sct.canada.ca/pol/doc-fra.aspx?id=281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uclearsafety.gc.ca/fra/acts-and-regulations/consultation/history/wwhr-modernizing-nuclear-security-regulatory-framework.cfm" TargetMode="External"/><Relationship Id="rId14" Type="http://schemas.openxmlformats.org/officeDocument/2006/relationships/hyperlink" Target="http://nuclearsafety.gc.ca/fra/acts-and-regulations/consultation/history/cyber-security-and-the-protection-of-digital-information-dis-21-03.cfm" TargetMode="External"/><Relationship Id="rId22" Type="http://schemas.openxmlformats.org/officeDocument/2006/relationships/hyperlink" Target="https://www.tbs-sct.canada.ca/pol/doc-fra.aspx?id=28115" TargetMode="External"/><Relationship Id="rId27" Type="http://schemas.openxmlformats.org/officeDocument/2006/relationships/hyperlink" Target="https://feuillederouteprm.ca/"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p.gov/border-security/ports-entry/cargo-security/CTPAT" TargetMode="External"/><Relationship Id="rId13" Type="http://schemas.openxmlformats.org/officeDocument/2006/relationships/hyperlink" Target="https://www.canadagazette.gc.ca/rp-pr/p1/2022/2022-11-12/html/reg1-fra.html?wbdisable=true" TargetMode="External"/><Relationship Id="rId3" Type="http://schemas.openxmlformats.org/officeDocument/2006/relationships/hyperlink" Target="http://nuclearsafety.gc.ca/fra/acts-and-regulations/regulatory-documents/csa-standards.cfm" TargetMode="External"/><Relationship Id="rId7" Type="http://schemas.openxmlformats.org/officeDocument/2006/relationships/hyperlink" Target="http://nuclearsafety.gc.ca/fra/acts-and-regulations/regulatory-documents/published/html/regdoc3-5-3-v3/index.cfm" TargetMode="External"/><Relationship Id="rId12" Type="http://schemas.openxmlformats.org/officeDocument/2006/relationships/hyperlink" Target="https://www.canadagazette.gc.ca/rp-pr/p1/2022/2022-11-12/html/reg1-fra.html?wbdisable=true" TargetMode="External"/><Relationship Id="rId2" Type="http://schemas.openxmlformats.org/officeDocument/2006/relationships/hyperlink" Target="http://nuclearsafety.gc.ca/" TargetMode="External"/><Relationship Id="rId16" Type="http://schemas.openxmlformats.org/officeDocument/2006/relationships/hyperlink" Target="https://laws.justice.gc.ca/fra/reglements/DORS-2000-209/TexteComplet.html" TargetMode="External"/><Relationship Id="rId1" Type="http://schemas.openxmlformats.org/officeDocument/2006/relationships/hyperlink" Target="https://www.canada.ca/fr/gouvernement/systeme/lois/developpement-amelioration-reglementation-federale/exigences-matiere-elaboration-gestion-examen-reglements/lignes-directrices-outils/politique-elaboration-reglementation.html" TargetMode="External"/><Relationship Id="rId6" Type="http://schemas.openxmlformats.org/officeDocument/2006/relationships/hyperlink" Target="http://www.nuclearsafety.gc.ca/fra/acts-and-regulations/regulatory-documents/history/regdoc3-5-3.cfm" TargetMode="External"/><Relationship Id="rId11" Type="http://schemas.openxmlformats.org/officeDocument/2006/relationships/hyperlink" Target="https://www-pub.iaea.org/MTCD/Publications/PDF/Pub1505f_web.pdf" TargetMode="External"/><Relationship Id="rId5" Type="http://schemas.openxmlformats.org/officeDocument/2006/relationships/hyperlink" Target="https://www.iaea.org/resources/publications/iaea-nuclear-safety-and-security-glossary" TargetMode="External"/><Relationship Id="rId15" Type="http://schemas.openxmlformats.org/officeDocument/2006/relationships/hyperlink" Target="https://www.iaea.org/fr/services/le-service-consultatif-international-sur-la-protection-physique-ippas" TargetMode="External"/><Relationship Id="rId10" Type="http://schemas.openxmlformats.org/officeDocument/2006/relationships/hyperlink" Target="https://canadagazette.gc.ca/rp-pr/p1/2022/2022-11-12/html/reg1-fra.html" TargetMode="External"/><Relationship Id="rId4" Type="http://schemas.openxmlformats.org/officeDocument/2006/relationships/hyperlink" Target="https://laws-lois.justice.gc.ca/fra/reglements/DORS-2000-202/page-2.html" TargetMode="External"/><Relationship Id="rId9" Type="http://schemas.openxmlformats.org/officeDocument/2006/relationships/hyperlink" Target="https://canadagazette.gc.ca/rp-pr/p1/2022/2022-11-12/html/reg1-fra.html" TargetMode="External"/><Relationship Id="rId14" Type="http://schemas.openxmlformats.org/officeDocument/2006/relationships/hyperlink" Target="https://www-pub.iaea.org/MTCD/Publications/PDF/Pub1481f_Web.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0B533E2A34FD39CBA907BD2392511"/>
        <w:category>
          <w:name w:val="General"/>
          <w:gallery w:val="placeholder"/>
        </w:category>
        <w:types>
          <w:type w:val="bbPlcHdr"/>
        </w:types>
        <w:behaviors>
          <w:behavior w:val="content"/>
        </w:behaviors>
        <w:guid w:val="{70D70A00-4962-436C-8100-B4DC014805F6}"/>
      </w:docPartPr>
      <w:docPartBody>
        <w:p w:rsidR="00515149" w:rsidRDefault="00515149" w:rsidP="00515149">
          <w:pPr>
            <w:pStyle w:val="EA00B533E2A34FD39CBA907BD23925112"/>
          </w:pPr>
          <w:r w:rsidRPr="00497FE9">
            <w:rPr>
              <w:lang w:val="fr-CA"/>
            </w:rPr>
            <w:t>Points à l’ordre d</w:t>
          </w:r>
          <w:r>
            <w:rPr>
              <w:lang w:val="fr-CA"/>
            </w:rPr>
            <w:t>u jour</w:t>
          </w:r>
        </w:p>
      </w:docPartBody>
    </w:docPart>
    <w:docPart>
      <w:docPartPr>
        <w:name w:val="379811BE82AF4D1499B41C19FF4E7F67"/>
        <w:category>
          <w:name w:val="General"/>
          <w:gallery w:val="placeholder"/>
        </w:category>
        <w:types>
          <w:type w:val="bbPlcHdr"/>
        </w:types>
        <w:behaviors>
          <w:behavior w:val="content"/>
        </w:behaviors>
        <w:guid w:val="{789191CF-C48B-4088-BE48-1D3F295457DA}"/>
      </w:docPartPr>
      <w:docPartBody>
        <w:p w:rsidR="00515149" w:rsidRDefault="00515149" w:rsidP="00515149">
          <w:pPr>
            <w:pStyle w:val="379811BE82AF4D1499B41C19FF4E7F671"/>
          </w:pPr>
          <w:r w:rsidRPr="00557D07">
            <w:rPr>
              <w:lang w:val="fr-CA"/>
            </w:rPr>
            <w:t>Points à l’ordre du j</w:t>
          </w:r>
          <w:r>
            <w:rPr>
              <w:lang w:val="fr-CA"/>
            </w:rPr>
            <w:t>our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94"/>
    <w:rsid w:val="0013169D"/>
    <w:rsid w:val="002D74B0"/>
    <w:rsid w:val="003F3F3E"/>
    <w:rsid w:val="00515149"/>
    <w:rsid w:val="006A0094"/>
    <w:rsid w:val="00C1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149"/>
    <w:rPr>
      <w:color w:val="808080"/>
    </w:rPr>
  </w:style>
  <w:style w:type="paragraph" w:customStyle="1" w:styleId="EA00B533E2A34FD39CBA907BD23925112">
    <w:name w:val="EA00B533E2A34FD39CBA907BD23925112"/>
    <w:rsid w:val="00515149"/>
    <w:pPr>
      <w:keepNext/>
      <w:keepLines/>
      <w:spacing w:before="240" w:after="0"/>
      <w:ind w:left="360" w:hanging="360"/>
      <w:outlineLvl w:val="0"/>
    </w:pPr>
    <w:rPr>
      <w:rFonts w:ascii="Times New Roman" w:eastAsiaTheme="majorEastAsia" w:hAnsi="Times New Roman" w:cs="Times New Roman"/>
      <w:b/>
      <w:color w:val="2F5496" w:themeColor="accent1" w:themeShade="BF"/>
      <w:lang w:val="en-CA"/>
    </w:rPr>
  </w:style>
  <w:style w:type="paragraph" w:customStyle="1" w:styleId="379811BE82AF4D1499B41C19FF4E7F671">
    <w:name w:val="379811BE82AF4D1499B41C19FF4E7F671"/>
    <w:rsid w:val="00515149"/>
    <w:pPr>
      <w:keepNext/>
      <w:keepLines/>
      <w:spacing w:before="240" w:after="0"/>
      <w:ind w:left="360" w:hanging="360"/>
      <w:outlineLvl w:val="0"/>
    </w:pPr>
    <w:rPr>
      <w:rFonts w:ascii="Times New Roman" w:eastAsiaTheme="majorEastAsia" w:hAnsi="Times New Roman" w:cs="Times New Roman"/>
      <w:b/>
      <w:color w:val="2F5496" w:themeColor="accent1" w:themeShade="BF"/>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223EE-8A41-4076-A725-47DFD93E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6666</Words>
  <Characters>37998</Characters>
  <Application>Microsoft Office Word</Application>
  <DocSecurity>0</DocSecurity>
  <Lines>316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CNSC-CCSN</Company>
  <LinksUpToDate>false</LinksUpToDate>
  <CharactersWithSpaces>44575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Lajeunesse, Melanie</dc:creator>
  <cp:lastModifiedBy>Moulin, Stephanie</cp:lastModifiedBy>
  <cp:revision>4</cp:revision>
  <dcterms:created xsi:type="dcterms:W3CDTF">2023-10-18T17:35:00Z</dcterms:created>
  <dcterms:modified xsi:type="dcterms:W3CDTF">2023-10-19T19:08:00Z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34ed4f5-eae4-40c7-82be-b1cdf720a1b9_Enabled">
    <vt:lpwstr>true</vt:lpwstr>
  </property>
  <property fmtid="{D5CDD505-2E9C-101B-9397-08002B2CF9AE}" pid="4" name="MSIP_Label_834ed4f5-eae4-40c7-82be-b1cdf720a1b9_SetDate">
    <vt:lpwstr>2023-10-17T15:57:57Z</vt:lpwstr>
  </property>
  <property fmtid="{D5CDD505-2E9C-101B-9397-08002B2CF9AE}" pid="5" name="MSIP_Label_834ed4f5-eae4-40c7-82be-b1cdf720a1b9_Method">
    <vt:lpwstr>Standard</vt:lpwstr>
  </property>
  <property fmtid="{D5CDD505-2E9C-101B-9397-08002B2CF9AE}" pid="6" name="MSIP_Label_834ed4f5-eae4-40c7-82be-b1cdf720a1b9_Name">
    <vt:lpwstr>Unclassified - Non classifié</vt:lpwstr>
  </property>
  <property fmtid="{D5CDD505-2E9C-101B-9397-08002B2CF9AE}" pid="7" name="MSIP_Label_834ed4f5-eae4-40c7-82be-b1cdf720a1b9_SiteId">
    <vt:lpwstr>e0d54a3c-7bbe-4a64-9d46-f9f84a41c833</vt:lpwstr>
  </property>
  <property fmtid="{D5CDD505-2E9C-101B-9397-08002B2CF9AE}" pid="8" name="MSIP_Label_834ed4f5-eae4-40c7-82be-b1cdf720a1b9_ActionId">
    <vt:lpwstr>a0bc329e-d1b4-4bdb-b74d-9869c08cbfdd</vt:lpwstr>
  </property>
  <property fmtid="{D5CDD505-2E9C-101B-9397-08002B2CF9AE}" pid="9" name="MSIP_Label_834ed4f5-eae4-40c7-82be-b1cdf720a1b9_ContentBits">
    <vt:lpwstr>0</vt:lpwstr>
  </property>
</Properties>
</file>