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D8B7" w14:textId="237C2AEA" w:rsidR="00A52E2A" w:rsidRPr="00D421B0" w:rsidRDefault="00A52E2A" w:rsidP="00113A85">
      <w:pPr>
        <w:pStyle w:val="Series"/>
      </w:pPr>
      <w:r>
        <w:rPr>
          <w:noProof/>
          <w:lang w:val="en-CA" w:eastAsia="en-CA"/>
        </w:rPr>
        <w:drawing>
          <wp:anchor distT="0" distB="0" distL="114300" distR="114300" simplePos="0" relativeHeight="251661312" behindDoc="1" locked="0" layoutInCell="1" allowOverlap="1" wp14:anchorId="7E0AFE8D" wp14:editId="3FF72D8B">
            <wp:simplePos x="0" y="0"/>
            <wp:positionH relativeFrom="page">
              <wp:posOffset>13996</wp:posOffset>
            </wp:positionH>
            <wp:positionV relativeFrom="page">
              <wp:posOffset>-30480</wp:posOffset>
            </wp:positionV>
            <wp:extent cx="7781290" cy="10073640"/>
            <wp:effectExtent l="0" t="0" r="1270" b="3810"/>
            <wp:wrapNone/>
            <wp:docPr id="20" name="Picture 20" descr="Regulatory Document Cover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gulatory Document Cover_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1290" cy="1007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BC3" w:rsidRPr="00D421B0">
        <w:t>Conduite de l’exploitation</w:t>
      </w:r>
    </w:p>
    <w:p w14:paraId="4711A00C" w14:textId="05A92E50" w:rsidR="00A52E2A" w:rsidRPr="00B16FAF" w:rsidRDefault="00A52E2A" w:rsidP="00113A85">
      <w:pPr>
        <w:pStyle w:val="Heading1"/>
      </w:pPr>
      <w:r w:rsidRPr="00042BC3">
        <w:rPr>
          <w:noProof/>
          <w:highlight w:val="green"/>
          <w:lang w:val="en-CA" w:eastAsia="en-CA"/>
        </w:rPr>
        <w:drawing>
          <wp:anchor distT="0" distB="0" distL="114300" distR="114300" simplePos="0" relativeHeight="251660288" behindDoc="0" locked="0" layoutInCell="1" allowOverlap="1" wp14:anchorId="1EF5024F" wp14:editId="5D7C2FA6">
            <wp:simplePos x="0" y="0"/>
            <wp:positionH relativeFrom="column">
              <wp:posOffset>0</wp:posOffset>
            </wp:positionH>
            <wp:positionV relativeFrom="paragraph">
              <wp:posOffset>908050</wp:posOffset>
            </wp:positionV>
            <wp:extent cx="5943600" cy="9525"/>
            <wp:effectExtent l="0" t="0" r="0" b="0"/>
            <wp:wrapNone/>
            <wp:docPr id="8" name="Picture 8" descr="Horizontal line for INFO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rizontal line for INFO 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FAF" w:rsidRPr="00B16FAF">
        <w:t>Programmes d’exploitation des i</w:t>
      </w:r>
      <w:r w:rsidR="00B16FAF">
        <w:t>nstallations dotées de réacteurs</w:t>
      </w:r>
    </w:p>
    <w:p w14:paraId="0A35D5B6" w14:textId="7A94C171" w:rsidR="00457276" w:rsidRPr="00B16FAF" w:rsidRDefault="00457276" w:rsidP="00457276">
      <w:pPr>
        <w:pStyle w:val="REGDOCNumberCoverPage"/>
        <w:rPr>
          <w:lang w:val="fr-CA"/>
        </w:rPr>
      </w:pPr>
      <w:r w:rsidRPr="00B16FAF">
        <w:rPr>
          <w:lang w:val="fr-CA"/>
        </w:rPr>
        <w:t>REGDOC-</w:t>
      </w:r>
      <w:r w:rsidR="00042BC3" w:rsidRPr="00B16FAF">
        <w:rPr>
          <w:lang w:val="fr-CA"/>
        </w:rPr>
        <w:t>2.3.4</w:t>
      </w:r>
    </w:p>
    <w:p w14:paraId="4E54696E" w14:textId="77777777" w:rsidR="00457276" w:rsidRPr="00B16FAF" w:rsidRDefault="00457276" w:rsidP="00457276">
      <w:pPr>
        <w:pStyle w:val="Month"/>
        <w:spacing w:before="0" w:after="0"/>
        <w:rPr>
          <w:rStyle w:val="MonthChar"/>
          <w:lang w:val="fr-CA"/>
        </w:rPr>
      </w:pPr>
    </w:p>
    <w:p w14:paraId="175D7149" w14:textId="77777777" w:rsidR="00457276" w:rsidRPr="00B16FAF" w:rsidRDefault="00457276" w:rsidP="00457276">
      <w:pPr>
        <w:pStyle w:val="Month"/>
        <w:spacing w:before="0" w:after="0"/>
        <w:rPr>
          <w:rStyle w:val="MonthChar"/>
          <w:lang w:val="fr-CA"/>
        </w:rPr>
      </w:pPr>
    </w:p>
    <w:p w14:paraId="76CFCC91" w14:textId="77777777" w:rsidR="00457276" w:rsidRPr="00B16FAF" w:rsidRDefault="00457276" w:rsidP="00457276">
      <w:pPr>
        <w:pStyle w:val="Month"/>
        <w:spacing w:before="0" w:after="0"/>
        <w:rPr>
          <w:rStyle w:val="MonthChar"/>
          <w:lang w:val="fr-CA"/>
        </w:rPr>
      </w:pPr>
    </w:p>
    <w:p w14:paraId="1CE7C8B8" w14:textId="77777777" w:rsidR="00457276" w:rsidRPr="00B16FAF" w:rsidRDefault="00457276" w:rsidP="00457276">
      <w:pPr>
        <w:pStyle w:val="Month"/>
        <w:spacing w:before="0" w:after="0"/>
        <w:rPr>
          <w:rStyle w:val="MonthChar"/>
          <w:lang w:val="fr-CA"/>
        </w:rPr>
      </w:pPr>
    </w:p>
    <w:p w14:paraId="030C0002" w14:textId="77777777" w:rsidR="00457276" w:rsidRPr="00B16FAF" w:rsidRDefault="00457276" w:rsidP="00457276">
      <w:pPr>
        <w:pStyle w:val="Month"/>
        <w:spacing w:before="0" w:after="0"/>
        <w:rPr>
          <w:rStyle w:val="MonthChar"/>
          <w:lang w:val="fr-CA"/>
        </w:rPr>
      </w:pPr>
    </w:p>
    <w:p w14:paraId="7E68F2F0" w14:textId="77777777" w:rsidR="00457276" w:rsidRPr="00B16FAF" w:rsidRDefault="00457276" w:rsidP="00457276">
      <w:pPr>
        <w:pStyle w:val="Month"/>
        <w:spacing w:before="0" w:after="0"/>
        <w:rPr>
          <w:rStyle w:val="MonthChar"/>
          <w:lang w:val="fr-CA"/>
        </w:rPr>
      </w:pPr>
    </w:p>
    <w:p w14:paraId="2CEDE106" w14:textId="0BA5D2D9" w:rsidR="00457276" w:rsidRDefault="00457276" w:rsidP="00457276">
      <w:pPr>
        <w:pStyle w:val="Month"/>
        <w:spacing w:before="0" w:after="0"/>
        <w:rPr>
          <w:rStyle w:val="MonthChar"/>
          <w:lang w:val="fr-CA"/>
        </w:rPr>
      </w:pPr>
    </w:p>
    <w:p w14:paraId="7396818E" w14:textId="77777777" w:rsidR="00CC642A" w:rsidRPr="00B16FAF" w:rsidRDefault="00CC642A" w:rsidP="00457276">
      <w:pPr>
        <w:pStyle w:val="Month"/>
        <w:spacing w:before="0" w:after="0"/>
        <w:rPr>
          <w:rStyle w:val="MonthChar"/>
          <w:lang w:val="fr-CA"/>
        </w:rPr>
      </w:pPr>
    </w:p>
    <w:p w14:paraId="3CDE7946" w14:textId="6DAF05C4" w:rsidR="00457276" w:rsidRPr="00B16FAF" w:rsidRDefault="00457276" w:rsidP="00457276">
      <w:pPr>
        <w:pStyle w:val="Month"/>
        <w:spacing w:before="0" w:after="0"/>
        <w:rPr>
          <w:rStyle w:val="MonthChar"/>
          <w:lang w:val="fr-CA"/>
        </w:rPr>
      </w:pPr>
    </w:p>
    <w:p w14:paraId="3DDF40F4" w14:textId="3B39119E" w:rsidR="00457276" w:rsidRPr="00B16FAF" w:rsidRDefault="00457276" w:rsidP="00457276">
      <w:pPr>
        <w:pStyle w:val="Month"/>
        <w:spacing w:before="0" w:after="0"/>
        <w:rPr>
          <w:rStyle w:val="MonthChar"/>
          <w:lang w:val="fr-CA"/>
        </w:rPr>
      </w:pPr>
    </w:p>
    <w:p w14:paraId="25FB5255" w14:textId="1765B836" w:rsidR="00457276" w:rsidRPr="00B16FAF" w:rsidRDefault="00417546" w:rsidP="00457276">
      <w:pPr>
        <w:pStyle w:val="Month"/>
        <w:spacing w:before="0" w:after="0"/>
        <w:rPr>
          <w:rStyle w:val="MonthChar"/>
          <w:lang w:val="fr-CA"/>
        </w:rPr>
      </w:pPr>
      <w:r w:rsidRPr="00457276">
        <w:rPr>
          <w:rStyle w:val="MonthChar"/>
          <w:highlight w:val="yellow"/>
          <w:lang w:val="en-CA"/>
        </w:rPr>
        <w:drawing>
          <wp:anchor distT="0" distB="0" distL="114300" distR="114300" simplePos="0" relativeHeight="251662336" behindDoc="1" locked="0" layoutInCell="1" allowOverlap="1" wp14:anchorId="4B34ABC3" wp14:editId="3FE52F5C">
            <wp:simplePos x="0" y="0"/>
            <wp:positionH relativeFrom="page">
              <wp:posOffset>13996</wp:posOffset>
            </wp:positionH>
            <wp:positionV relativeFrom="page">
              <wp:posOffset>6026785</wp:posOffset>
            </wp:positionV>
            <wp:extent cx="7809865" cy="1183640"/>
            <wp:effectExtent l="0" t="0" r="635" b="0"/>
            <wp:wrapNone/>
            <wp:docPr id="16" name="Picture 16" descr="Regulatory Document Draft Stamp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gulatory Document Draft Stamp_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9865"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24D63" w14:textId="6690A729" w:rsidR="00457276" w:rsidRPr="00B16FAF" w:rsidRDefault="00457276" w:rsidP="00457276">
      <w:pPr>
        <w:pStyle w:val="Month"/>
        <w:spacing w:before="0" w:after="0"/>
        <w:rPr>
          <w:rStyle w:val="MonthChar"/>
          <w:lang w:val="fr-CA"/>
        </w:rPr>
      </w:pPr>
    </w:p>
    <w:p w14:paraId="48AFA5E2" w14:textId="77777777" w:rsidR="00457276" w:rsidRPr="00B16FAF" w:rsidRDefault="00457276" w:rsidP="00457276">
      <w:pPr>
        <w:pStyle w:val="Month"/>
        <w:spacing w:before="0" w:after="0"/>
        <w:rPr>
          <w:rStyle w:val="MonthChar"/>
          <w:lang w:val="fr-CA"/>
        </w:rPr>
      </w:pPr>
    </w:p>
    <w:p w14:paraId="157B9D8E" w14:textId="77777777" w:rsidR="00457276" w:rsidRPr="00B16FAF" w:rsidRDefault="00457276" w:rsidP="00457276">
      <w:pPr>
        <w:pStyle w:val="Month"/>
        <w:spacing w:before="0" w:after="0"/>
        <w:rPr>
          <w:rStyle w:val="MonthChar"/>
          <w:lang w:val="fr-CA"/>
        </w:rPr>
      </w:pPr>
    </w:p>
    <w:p w14:paraId="42580AE1" w14:textId="77777777" w:rsidR="00457276" w:rsidRPr="00B16FAF" w:rsidRDefault="00457276" w:rsidP="00457276">
      <w:pPr>
        <w:pStyle w:val="Month"/>
        <w:spacing w:before="0" w:after="0"/>
        <w:rPr>
          <w:rStyle w:val="MonthChar"/>
          <w:lang w:val="fr-CA"/>
        </w:rPr>
      </w:pPr>
    </w:p>
    <w:p w14:paraId="46A63FB7" w14:textId="6290376E" w:rsidR="00A52E2A" w:rsidRPr="00D421B0" w:rsidRDefault="00A52E2A" w:rsidP="00457276">
      <w:pPr>
        <w:pStyle w:val="Month"/>
        <w:spacing w:before="0"/>
        <w:rPr>
          <w:lang w:val="fr-CA"/>
        </w:rPr>
      </w:pPr>
      <w:r w:rsidRPr="00CC642A">
        <w:rPr>
          <w:rStyle w:val="MonthChar"/>
          <w:lang w:val="en-CA"/>
        </w:rPr>
        <w:drawing>
          <wp:anchor distT="0" distB="0" distL="114300" distR="114300" simplePos="0" relativeHeight="251659264" behindDoc="1" locked="0" layoutInCell="1" allowOverlap="1" wp14:anchorId="7773CEF7" wp14:editId="2AC4604F">
            <wp:simplePos x="0" y="0"/>
            <wp:positionH relativeFrom="page">
              <wp:posOffset>635</wp:posOffset>
            </wp:positionH>
            <wp:positionV relativeFrom="page">
              <wp:posOffset>6360160</wp:posOffset>
            </wp:positionV>
            <wp:extent cx="7781290" cy="1183640"/>
            <wp:effectExtent l="0" t="0" r="0" b="0"/>
            <wp:wrapNone/>
            <wp:docPr id="7" name="Picture 7"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ulatory Document Draft Stamp_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8129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86D">
        <w:rPr>
          <w:lang w:val="fr-CA"/>
        </w:rPr>
        <w:t>Décem</w:t>
      </w:r>
      <w:r w:rsidR="00CC642A" w:rsidRPr="00CC642A">
        <w:rPr>
          <w:lang w:val="fr-CA"/>
        </w:rPr>
        <w:t>bre 2023</w:t>
      </w:r>
    </w:p>
    <w:p w14:paraId="72E7317C" w14:textId="77777777" w:rsidR="00A52E2A" w:rsidRPr="00CC642A" w:rsidRDefault="00A52E2A" w:rsidP="00A52E2A">
      <w:pPr>
        <w:pStyle w:val="BodyTextNoIndent"/>
        <w:rPr>
          <w:lang w:val="fr-CA"/>
        </w:rPr>
        <w:sectPr w:rsidR="00A52E2A" w:rsidRPr="00CC642A" w:rsidSect="00A52E2A">
          <w:headerReference w:type="even" r:id="rId12"/>
          <w:headerReference w:type="default" r:id="rId13"/>
          <w:footerReference w:type="even" r:id="rId14"/>
          <w:headerReference w:type="first" r:id="rId15"/>
          <w:footerReference w:type="first" r:id="rId16"/>
          <w:type w:val="oddPage"/>
          <w:pgSz w:w="12240" w:h="15840" w:code="1"/>
          <w:pgMar w:top="3780" w:right="1440" w:bottom="3456" w:left="1440" w:header="720" w:footer="720" w:gutter="0"/>
          <w:cols w:space="720"/>
          <w:docGrid w:linePitch="360"/>
        </w:sectPr>
      </w:pPr>
    </w:p>
    <w:p w14:paraId="2A62525E" w14:textId="7D915820" w:rsidR="00A52E2A" w:rsidRPr="00B16FAF" w:rsidRDefault="00A52E2A" w:rsidP="00A52E2A">
      <w:pPr>
        <w:pStyle w:val="BodyTextNoIndent"/>
        <w:spacing w:after="0"/>
        <w:rPr>
          <w:b/>
          <w:sz w:val="24"/>
          <w:lang w:val="fr-CA"/>
        </w:rPr>
      </w:pPr>
      <w:r w:rsidRPr="0032170D">
        <w:rPr>
          <w:b/>
        </w:rPr>
        <w:lastRenderedPageBreak/>
        <w:fldChar w:fldCharType="begin"/>
      </w:r>
      <w:r w:rsidRPr="00B16FAF">
        <w:rPr>
          <w:b/>
          <w:lang w:val="fr-CA"/>
        </w:rPr>
        <w:instrText xml:space="preserve"> STYLEREF  "Heading 1"  \* MERGEFORMAT </w:instrText>
      </w:r>
      <w:r w:rsidRPr="0032170D">
        <w:rPr>
          <w:b/>
        </w:rPr>
        <w:fldChar w:fldCharType="separate"/>
      </w:r>
      <w:r w:rsidR="00B16FAF" w:rsidRPr="00B16FAF">
        <w:rPr>
          <w:b/>
          <w:noProof/>
          <w:lang w:val="fr-CA"/>
        </w:rPr>
        <w:t>Programmes d’exploitation des installations dotées de réacteurs</w:t>
      </w:r>
      <w:r w:rsidRPr="0032170D">
        <w:rPr>
          <w:b/>
        </w:rPr>
        <w:fldChar w:fldCharType="end"/>
      </w:r>
    </w:p>
    <w:p w14:paraId="18FE9E6B" w14:textId="4DD17037" w:rsidR="00A52E2A" w:rsidRPr="005C553F" w:rsidRDefault="00A52E2A" w:rsidP="00A52E2A">
      <w:pPr>
        <w:pStyle w:val="BodyTextNoIndent"/>
        <w:rPr>
          <w:lang w:val="fr-CA"/>
        </w:rPr>
      </w:pPr>
      <w:r w:rsidRPr="0032170D">
        <w:rPr>
          <w:lang w:val="fr-CA"/>
        </w:rPr>
        <w:t>Document d’application de la réglementation REGDOC-</w:t>
      </w:r>
      <w:r w:rsidR="0032170D" w:rsidRPr="0032170D">
        <w:rPr>
          <w:lang w:val="fr-CA"/>
        </w:rPr>
        <w:t>2.3.4</w:t>
      </w:r>
      <w:r w:rsidRPr="005C553F">
        <w:rPr>
          <w:lang w:val="fr-CA"/>
        </w:rPr>
        <w:t xml:space="preserve"> </w:t>
      </w:r>
    </w:p>
    <w:p w14:paraId="7B10202C" w14:textId="7D8AA42A" w:rsidR="00A52E2A" w:rsidRPr="00CC642A" w:rsidRDefault="00A52E2A" w:rsidP="00A52E2A">
      <w:pPr>
        <w:pStyle w:val="BodyTextNoIndent"/>
        <w:spacing w:after="0"/>
        <w:rPr>
          <w:lang w:val="fr-CA"/>
        </w:rPr>
      </w:pPr>
      <w:r w:rsidRPr="005C553F">
        <w:rPr>
          <w:lang w:val="fr-CA"/>
        </w:rPr>
        <w:t xml:space="preserve">© </w:t>
      </w:r>
      <w:r w:rsidR="006F4AB7" w:rsidRPr="00196AC2">
        <w:rPr>
          <w:lang w:val="fr-FR"/>
        </w:rPr>
        <w:t xml:space="preserve">Sa Majesté le Roi du </w:t>
      </w:r>
      <w:r w:rsidR="006F4AB7" w:rsidRPr="00196AC2">
        <w:rPr>
          <w:lang w:val="fr-CA"/>
        </w:rPr>
        <w:t xml:space="preserve">chef du Canada, représenté par le ministre des Ressources </w:t>
      </w:r>
      <w:r w:rsidR="006F4AB7" w:rsidRPr="00CC642A">
        <w:rPr>
          <w:lang w:val="fr-CA"/>
        </w:rPr>
        <w:t>naturelles, 20XX</w:t>
      </w:r>
    </w:p>
    <w:p w14:paraId="34AF25C1" w14:textId="77777777" w:rsidR="00A52E2A" w:rsidRPr="00CC642A" w:rsidRDefault="00A52E2A" w:rsidP="00A52E2A">
      <w:pPr>
        <w:pStyle w:val="BodyTextNoIndent"/>
        <w:spacing w:after="0"/>
      </w:pPr>
      <w:r w:rsidRPr="00CC642A">
        <w:t>N</w:t>
      </w:r>
      <w:r w:rsidRPr="00CC642A">
        <w:rPr>
          <w:vertAlign w:val="superscript"/>
        </w:rPr>
        <w:t>o</w:t>
      </w:r>
      <w:r w:rsidRPr="00CC642A">
        <w:t xml:space="preserve"> de cat. NNNNN</w:t>
      </w:r>
    </w:p>
    <w:p w14:paraId="3E483B00" w14:textId="77777777" w:rsidR="00A52E2A" w:rsidRPr="00A52E2A" w:rsidRDefault="00A52E2A" w:rsidP="00A52E2A">
      <w:pPr>
        <w:pStyle w:val="BodyTextNoIndent"/>
      </w:pPr>
      <w:r w:rsidRPr="00CC642A">
        <w:t>ISBN NNNNN</w:t>
      </w:r>
      <w:r w:rsidRPr="00A52E2A">
        <w:t xml:space="preserve"> </w:t>
      </w:r>
    </w:p>
    <w:p w14:paraId="740C3953" w14:textId="11E0298E" w:rsidR="00A52E2A" w:rsidRPr="005C553F" w:rsidRDefault="006F4AB7" w:rsidP="00A52E2A">
      <w:pPr>
        <w:pStyle w:val="BodyTextNoIndent"/>
        <w:rPr>
          <w:lang w:val="fr-CA"/>
        </w:rPr>
      </w:pPr>
      <w:r w:rsidRPr="00791F68">
        <w:rPr>
          <w:color w:val="000000"/>
          <w:lang w:val="fr-FR"/>
        </w:rPr>
        <w:t xml:space="preserve">La reproduction d’extraits </w:t>
      </w:r>
      <w:r>
        <w:rPr>
          <w:color w:val="000000"/>
          <w:lang w:val="fr-FR"/>
        </w:rPr>
        <w:t>de ce</w:t>
      </w:r>
      <w:r w:rsidRPr="00791F68">
        <w:rPr>
          <w:color w:val="000000"/>
          <w:lang w:val="fr-FR"/>
        </w:rPr>
        <w:t xml:space="preserve"> document à des fins personnelles est autorisée à condition que la source soit indiquée en entier. Toutefois, sa reproduction en tout ou en partie à des fins commerciales ou de redistribution nécessite l’obtention préalable d’une autorisation écrite de la Commission canadienne de sûreté nucléaire.</w:t>
      </w:r>
    </w:p>
    <w:p w14:paraId="14002C8D" w14:textId="1D99F934" w:rsidR="00A52E2A" w:rsidRPr="005C553F" w:rsidRDefault="00A52E2A" w:rsidP="00A52E2A">
      <w:pPr>
        <w:pStyle w:val="BodyTextNoIndent"/>
        <w:rPr>
          <w:rStyle w:val="Emphasis"/>
        </w:rPr>
      </w:pPr>
      <w:r w:rsidRPr="005C553F">
        <w:rPr>
          <w:rStyle w:val="Emphasis"/>
        </w:rPr>
        <w:t xml:space="preserve">Also available in English under the title: </w:t>
      </w:r>
      <w:r w:rsidR="0032170D">
        <w:rPr>
          <w:rStyle w:val="Emphasis"/>
        </w:rPr>
        <w:t xml:space="preserve">Operations Programs for </w:t>
      </w:r>
      <w:r w:rsidR="005520EA">
        <w:rPr>
          <w:rStyle w:val="Emphasis"/>
        </w:rPr>
        <w:t>Reactor Facilitie</w:t>
      </w:r>
      <w:r w:rsidR="0032170D">
        <w:rPr>
          <w:rStyle w:val="Emphasis"/>
        </w:rPr>
        <w:t>s</w:t>
      </w:r>
    </w:p>
    <w:p w14:paraId="65B9D963" w14:textId="77777777" w:rsidR="00A52E2A" w:rsidRPr="005C553F" w:rsidRDefault="00A52E2A" w:rsidP="00A52E2A">
      <w:pPr>
        <w:pStyle w:val="BodyTextNoIndent"/>
        <w:spacing w:after="0"/>
        <w:rPr>
          <w:rStyle w:val="Strong"/>
          <w:rFonts w:ascii="Times New Roman Bold" w:hAnsi="Times New Roman Bold"/>
          <w:szCs w:val="24"/>
          <w:lang w:val="fr-CA"/>
        </w:rPr>
      </w:pPr>
      <w:r w:rsidRPr="005C553F">
        <w:rPr>
          <w:rStyle w:val="Strong"/>
          <w:rFonts w:ascii="Times New Roman Bold" w:hAnsi="Times New Roman Bold"/>
          <w:szCs w:val="24"/>
          <w:lang w:val="fr-CA"/>
        </w:rPr>
        <w:t>Disponibilité du document</w:t>
      </w:r>
    </w:p>
    <w:p w14:paraId="25D5A5B3" w14:textId="77777777" w:rsidR="00A52E2A" w:rsidRPr="005C553F" w:rsidRDefault="00A52E2A" w:rsidP="00A52E2A">
      <w:pPr>
        <w:pStyle w:val="BodyTextNoIndent"/>
        <w:rPr>
          <w:lang w:val="fr-CA"/>
        </w:rPr>
      </w:pPr>
      <w:r w:rsidRPr="00035288">
        <w:rPr>
          <w:lang w:val="fr-CA"/>
        </w:rPr>
        <w:t xml:space="preserve">Les personnes intéressées peuvent consulter le document sur le </w:t>
      </w:r>
      <w:hyperlink r:id="rId17" w:history="1">
        <w:r w:rsidRPr="00D23E49">
          <w:rPr>
            <w:rStyle w:val="Hyperlink"/>
            <w:lang w:val="fr-CA"/>
          </w:rPr>
          <w:t>site Web de la CCSN</w:t>
        </w:r>
      </w:hyperlink>
      <w:r w:rsidRPr="00035288">
        <w:rPr>
          <w:lang w:val="fr-CA"/>
        </w:rPr>
        <w:t xml:space="preserve"> ou l’obtenir, en français ou en anglais, en communiquant avec la :</w:t>
      </w:r>
    </w:p>
    <w:p w14:paraId="10428BBD" w14:textId="77777777" w:rsidR="00A52E2A" w:rsidRPr="00512FFF" w:rsidRDefault="00A52E2A" w:rsidP="00A52E2A">
      <w:pPr>
        <w:pStyle w:val="BodyTextNoIndent"/>
        <w:spacing w:after="0"/>
        <w:rPr>
          <w:lang w:val="fr-CA"/>
        </w:rPr>
      </w:pPr>
      <w:r w:rsidRPr="00512FFF">
        <w:rPr>
          <w:lang w:val="fr-CA"/>
        </w:rPr>
        <w:t>Commission canadienne de sûreté nucléaire</w:t>
      </w:r>
    </w:p>
    <w:p w14:paraId="63F77E9E" w14:textId="77777777" w:rsidR="00A52E2A" w:rsidRPr="00512FFF" w:rsidRDefault="00A52E2A" w:rsidP="00A52E2A">
      <w:pPr>
        <w:pStyle w:val="BodyTextNoIndent"/>
        <w:spacing w:after="0"/>
        <w:rPr>
          <w:lang w:val="fr-CA"/>
        </w:rPr>
      </w:pPr>
      <w:r w:rsidRPr="00512FFF">
        <w:rPr>
          <w:lang w:val="fr-CA"/>
        </w:rPr>
        <w:t>280, rue Slater</w:t>
      </w:r>
    </w:p>
    <w:p w14:paraId="28C14CA4" w14:textId="77777777" w:rsidR="00A52E2A" w:rsidRPr="00A52E2A" w:rsidRDefault="00A52E2A" w:rsidP="00A52E2A">
      <w:pPr>
        <w:pStyle w:val="BodyTextNoIndent"/>
        <w:spacing w:after="0"/>
      </w:pPr>
      <w:r w:rsidRPr="00A52E2A">
        <w:t>C.P. 1046, succursale B</w:t>
      </w:r>
    </w:p>
    <w:p w14:paraId="1AA5EFDF" w14:textId="77777777" w:rsidR="00A52E2A" w:rsidRDefault="00A52E2A" w:rsidP="00A52E2A">
      <w:pPr>
        <w:pStyle w:val="BodyTextNoIndent"/>
        <w:spacing w:after="0"/>
      </w:pPr>
      <w:r w:rsidRPr="00512FFF">
        <w:t>Ottawa (Ontario)  K1P 5S9</w:t>
      </w:r>
    </w:p>
    <w:p w14:paraId="6AEFEBA4" w14:textId="77777777" w:rsidR="00A52E2A" w:rsidRPr="00E72DE0" w:rsidRDefault="00A52E2A" w:rsidP="00A52E2A">
      <w:pPr>
        <w:pStyle w:val="BodyTextNoIndent"/>
        <w:rPr>
          <w:lang w:val="fr-CA"/>
        </w:rPr>
      </w:pPr>
      <w:r w:rsidRPr="007C177A">
        <w:rPr>
          <w:lang w:val="fr-CA"/>
        </w:rPr>
        <w:t>C</w:t>
      </w:r>
      <w:r w:rsidR="00457276" w:rsidRPr="007C177A">
        <w:rPr>
          <w:lang w:val="fr-CA"/>
        </w:rPr>
        <w:t>anada</w:t>
      </w:r>
    </w:p>
    <w:p w14:paraId="112FE42C" w14:textId="77777777" w:rsidR="00A52E2A" w:rsidRPr="00512FFF" w:rsidRDefault="00A52E2A" w:rsidP="00A52E2A">
      <w:pPr>
        <w:pStyle w:val="BodyTextNoIndent"/>
        <w:spacing w:after="0"/>
        <w:rPr>
          <w:lang w:val="fr-CA"/>
        </w:rPr>
      </w:pPr>
      <w:r w:rsidRPr="00512FFF">
        <w:rPr>
          <w:lang w:val="fr-CA"/>
        </w:rPr>
        <w:t>Téléphone : 613-995-5894 ou 1-800-668-5284 (au Canada seulement)</w:t>
      </w:r>
    </w:p>
    <w:p w14:paraId="75512D8B" w14:textId="77777777" w:rsidR="00A52E2A" w:rsidRPr="00512FFF" w:rsidRDefault="00A52E2A" w:rsidP="00A52E2A">
      <w:pPr>
        <w:pStyle w:val="BodyTextNoIndent"/>
        <w:spacing w:after="0"/>
        <w:rPr>
          <w:lang w:val="fr-CA"/>
        </w:rPr>
      </w:pPr>
      <w:r w:rsidRPr="00512FFF">
        <w:rPr>
          <w:lang w:val="fr-CA"/>
        </w:rPr>
        <w:t>Télécopieur : 613-995-5086</w:t>
      </w:r>
    </w:p>
    <w:p w14:paraId="464D2B3A" w14:textId="76EA609D" w:rsidR="00A52E2A" w:rsidRPr="00512FFF" w:rsidRDefault="00A52E2A" w:rsidP="00A52E2A">
      <w:pPr>
        <w:pStyle w:val="BodyTextNoIndent"/>
        <w:spacing w:after="0"/>
        <w:rPr>
          <w:rFonts w:cs="Times New Roman"/>
          <w:lang w:val="fr-CA"/>
        </w:rPr>
      </w:pPr>
      <w:r w:rsidRPr="00035288">
        <w:rPr>
          <w:lang w:val="fr-CA"/>
        </w:rPr>
        <w:t xml:space="preserve">Courriel : </w:t>
      </w:r>
      <w:hyperlink r:id="rId18" w:history="1">
        <w:r w:rsidR="00535356" w:rsidRPr="00C75E78">
          <w:rPr>
            <w:rStyle w:val="Hyperlink"/>
            <w:lang w:val="fr-CA"/>
          </w:rPr>
          <w:t>cnsc.info.ccsn@cnsc-ccsn.gc.ca</w:t>
        </w:r>
      </w:hyperlink>
    </w:p>
    <w:p w14:paraId="1980221F" w14:textId="77777777" w:rsidR="00A52E2A" w:rsidRPr="00A17446" w:rsidRDefault="00A52E2A" w:rsidP="00A52E2A">
      <w:pPr>
        <w:pStyle w:val="BodyTextNoIndent"/>
        <w:spacing w:after="0"/>
        <w:rPr>
          <w:rFonts w:cs="Times New Roman"/>
        </w:rPr>
      </w:pPr>
      <w:r w:rsidRPr="00B718DB">
        <w:t xml:space="preserve">Site </w:t>
      </w:r>
      <w:r>
        <w:t>W</w:t>
      </w:r>
      <w:r w:rsidRPr="00B718DB">
        <w:t xml:space="preserve">eb : </w:t>
      </w:r>
      <w:hyperlink r:id="rId19" w:history="1">
        <w:r w:rsidRPr="00B718DB">
          <w:rPr>
            <w:rStyle w:val="Hyperlink"/>
          </w:rPr>
          <w:t>suretenucleaire.gc.ca</w:t>
        </w:r>
      </w:hyperlink>
    </w:p>
    <w:p w14:paraId="63A9AEC4" w14:textId="77777777" w:rsidR="00A52E2A" w:rsidRDefault="00A52E2A" w:rsidP="00A52E2A">
      <w:pPr>
        <w:pStyle w:val="BodyTextNoIndent"/>
        <w:spacing w:after="0"/>
        <w:rPr>
          <w:rStyle w:val="Hyperlink"/>
        </w:rPr>
      </w:pPr>
      <w:r>
        <w:t xml:space="preserve">Facebook : </w:t>
      </w:r>
      <w:hyperlink r:id="rId20" w:history="1">
        <w:r>
          <w:rPr>
            <w:rStyle w:val="Hyperlink"/>
          </w:rPr>
          <w:t>facebook.com/Commissioncanadiennedesuretenucleaire</w:t>
        </w:r>
      </w:hyperlink>
    </w:p>
    <w:p w14:paraId="7FA2752F" w14:textId="77777777" w:rsidR="00A52E2A" w:rsidRDefault="00A52E2A" w:rsidP="00A52E2A">
      <w:pPr>
        <w:pStyle w:val="BodyTextNoIndent"/>
        <w:spacing w:after="0"/>
        <w:rPr>
          <w:rFonts w:cs="Times New Roman"/>
        </w:rPr>
      </w:pPr>
      <w:r w:rsidRPr="00B718DB">
        <w:t>YouTube</w:t>
      </w:r>
      <w:r>
        <w:t xml:space="preserve"> </w:t>
      </w:r>
      <w:r w:rsidRPr="00B718DB">
        <w:t xml:space="preserve">: </w:t>
      </w:r>
      <w:hyperlink r:id="rId21" w:history="1">
        <w:r>
          <w:rPr>
            <w:rStyle w:val="Hyperlink"/>
          </w:rPr>
          <w:t>youtube.com/ccsncnsc</w:t>
        </w:r>
      </w:hyperlink>
    </w:p>
    <w:p w14:paraId="16768011" w14:textId="77777777" w:rsidR="00A52E2A" w:rsidRPr="00A17446" w:rsidRDefault="00A52E2A" w:rsidP="00A52E2A">
      <w:pPr>
        <w:pStyle w:val="BodyTextNoIndent"/>
        <w:spacing w:after="0"/>
        <w:rPr>
          <w:rFonts w:cs="Times New Roman"/>
        </w:rPr>
      </w:pPr>
      <w:r w:rsidRPr="00BB1045">
        <w:t xml:space="preserve">Twitter : </w:t>
      </w:r>
      <w:hyperlink r:id="rId22" w:history="1">
        <w:r w:rsidRPr="00BB1045">
          <w:rPr>
            <w:rStyle w:val="Hyperlink"/>
          </w:rPr>
          <w:t>@CCSN_CNSC</w:t>
        </w:r>
      </w:hyperlink>
    </w:p>
    <w:p w14:paraId="5B1BC68B" w14:textId="77777777" w:rsidR="00A52E2A" w:rsidRPr="00A17446" w:rsidRDefault="00A52E2A" w:rsidP="00A52E2A">
      <w:pPr>
        <w:pStyle w:val="BodyTextNoIndent"/>
      </w:pPr>
      <w:r>
        <w:t xml:space="preserve">LinkedIn : </w:t>
      </w:r>
      <w:hyperlink r:id="rId23" w:history="1">
        <w:r w:rsidRPr="00797613">
          <w:rPr>
            <w:rStyle w:val="Hyperlink"/>
          </w:rPr>
          <w:t>linkedin.com/company/cnsc-ccsn</w:t>
        </w:r>
      </w:hyperlink>
    </w:p>
    <w:p w14:paraId="539CAF71" w14:textId="77777777" w:rsidR="00A52E2A" w:rsidRPr="00512FFF" w:rsidRDefault="00A52E2A" w:rsidP="00A52E2A">
      <w:pPr>
        <w:pStyle w:val="BodyTextNoIndent"/>
        <w:spacing w:after="0"/>
        <w:rPr>
          <w:rStyle w:val="Strong"/>
          <w:rFonts w:ascii="Times New Roman Bold" w:hAnsi="Times New Roman Bold"/>
          <w:szCs w:val="24"/>
          <w:lang w:val="fr-CA"/>
        </w:rPr>
      </w:pPr>
      <w:r w:rsidRPr="00512FFF">
        <w:rPr>
          <w:rStyle w:val="Strong"/>
          <w:rFonts w:ascii="Times New Roman Bold" w:hAnsi="Times New Roman Bold"/>
          <w:szCs w:val="24"/>
          <w:lang w:val="fr-CA"/>
        </w:rPr>
        <w:t>Historique de publication</w:t>
      </w:r>
    </w:p>
    <w:p w14:paraId="3D035FF0" w14:textId="77777777" w:rsidR="00A52E2A" w:rsidRPr="00512FFF" w:rsidRDefault="00A52E2A" w:rsidP="00A52E2A">
      <w:pPr>
        <w:pStyle w:val="BodyTextNoIndent"/>
        <w:spacing w:after="0"/>
        <w:rPr>
          <w:lang w:val="fr-CA"/>
        </w:rPr>
      </w:pPr>
      <w:r w:rsidRPr="00CC642A">
        <w:rPr>
          <w:lang w:val="fr-CA"/>
        </w:rPr>
        <w:t>[Mois 20xx]</w:t>
      </w:r>
      <w:r w:rsidRPr="00CC642A">
        <w:rPr>
          <w:lang w:val="fr-CA"/>
        </w:rPr>
        <w:tab/>
      </w:r>
      <w:r w:rsidRPr="00CC642A">
        <w:rPr>
          <w:lang w:val="fr-CA"/>
        </w:rPr>
        <w:tab/>
        <w:t>Version x.0</w:t>
      </w:r>
    </w:p>
    <w:p w14:paraId="45844484" w14:textId="77777777" w:rsidR="00A52E2A" w:rsidRPr="00512FFF" w:rsidRDefault="00A52E2A" w:rsidP="00A52E2A">
      <w:pPr>
        <w:pStyle w:val="BodyTextNoIndent"/>
        <w:rPr>
          <w:lang w:val="fr-CA"/>
        </w:rPr>
      </w:pPr>
    </w:p>
    <w:p w14:paraId="7E455CFB" w14:textId="77777777" w:rsidR="00A52E2A" w:rsidRPr="00512FFF" w:rsidRDefault="00A52E2A" w:rsidP="00A52E2A">
      <w:pPr>
        <w:pStyle w:val="BodyTextNoIndent"/>
        <w:rPr>
          <w:lang w:val="fr-CA"/>
        </w:rPr>
      </w:pPr>
    </w:p>
    <w:p w14:paraId="460D1201" w14:textId="77777777" w:rsidR="00A52E2A" w:rsidRPr="00512FFF" w:rsidRDefault="00A52E2A" w:rsidP="00A52E2A">
      <w:pPr>
        <w:pStyle w:val="BodyTextNoIndent"/>
        <w:rPr>
          <w:lang w:val="fr-CA"/>
        </w:rPr>
        <w:sectPr w:rsidR="00A52E2A" w:rsidRPr="00512FFF" w:rsidSect="000D4383">
          <w:headerReference w:type="even" r:id="rId24"/>
          <w:headerReference w:type="default" r:id="rId25"/>
          <w:footerReference w:type="default" r:id="rId26"/>
          <w:headerReference w:type="first" r:id="rId27"/>
          <w:pgSz w:w="12240" w:h="15840" w:code="1"/>
          <w:pgMar w:top="1440" w:right="1440" w:bottom="1440" w:left="1440" w:header="720" w:footer="720" w:gutter="0"/>
          <w:cols w:space="720"/>
          <w:docGrid w:linePitch="360"/>
        </w:sectPr>
      </w:pPr>
    </w:p>
    <w:p w14:paraId="7E787DE9" w14:textId="77777777" w:rsidR="00A52E2A" w:rsidRPr="00512FFF" w:rsidRDefault="00A52E2A" w:rsidP="00113A85">
      <w:pPr>
        <w:pStyle w:val="MainPageHeadingsNOTOC"/>
      </w:pPr>
      <w:r w:rsidRPr="00512FFF">
        <w:t>Préface</w:t>
      </w:r>
    </w:p>
    <w:p w14:paraId="6F8353C5" w14:textId="3957C566" w:rsidR="00A52E2A" w:rsidRPr="00512FFF" w:rsidRDefault="00A52E2A" w:rsidP="00A52E2A">
      <w:pPr>
        <w:pStyle w:val="BodyTextNoIndent"/>
        <w:rPr>
          <w:lang w:val="fr-CA"/>
        </w:rPr>
      </w:pPr>
      <w:r w:rsidRPr="00B306D2">
        <w:rPr>
          <w:lang w:val="fr-CA"/>
        </w:rPr>
        <w:t>Ce document d’application de la réglementation fait partie de la série de documents d’application de la réglementation de la CCSN intitulée</w:t>
      </w:r>
      <w:r w:rsidR="00C04F06">
        <w:rPr>
          <w:lang w:val="fr-CA"/>
        </w:rPr>
        <w:t xml:space="preserve"> conduite de l’exploitation, </w:t>
      </w:r>
      <w:r w:rsidRPr="00B306D2">
        <w:rPr>
          <w:lang w:val="fr-CA"/>
        </w:rPr>
        <w:t xml:space="preserve">qui porte également </w:t>
      </w:r>
      <w:r w:rsidR="00C04F06">
        <w:rPr>
          <w:lang w:val="fr-CA"/>
        </w:rPr>
        <w:t>sur les programmes de construction et de mise en service, sur la gestion des accidents</w:t>
      </w:r>
      <w:r w:rsidRPr="0088087D">
        <w:rPr>
          <w:rStyle w:val="Instructions"/>
          <w:lang w:val="fr-CA"/>
        </w:rPr>
        <w:t xml:space="preserve"> </w:t>
      </w:r>
      <w:r w:rsidRPr="00BE04D0">
        <w:rPr>
          <w:rStyle w:val="Instructions"/>
          <w:color w:val="auto"/>
          <w:lang w:val="fr-CA"/>
        </w:rPr>
        <w:t xml:space="preserve">et </w:t>
      </w:r>
      <w:r w:rsidRPr="00C04F06">
        <w:rPr>
          <w:lang w:val="fr-CA"/>
        </w:rPr>
        <w:t>sur</w:t>
      </w:r>
      <w:r w:rsidR="00C04F06" w:rsidRPr="00C04F06">
        <w:rPr>
          <w:lang w:val="fr-CA"/>
        </w:rPr>
        <w:t xml:space="preserve"> les bilans périodiques de la sûreté. </w:t>
      </w:r>
      <w:r w:rsidRPr="00B306D2">
        <w:rPr>
          <w:lang w:val="fr-CA"/>
        </w:rPr>
        <w:t xml:space="preserve">La liste complète des séries figure à la fin de ce document et elle peut être consultée à partir du </w:t>
      </w:r>
      <w:hyperlink r:id="rId28" w:history="1">
        <w:r w:rsidRPr="00B306D2">
          <w:rPr>
            <w:rStyle w:val="Hyperlink"/>
            <w:lang w:val="fr-CA"/>
          </w:rPr>
          <w:t>site Web de la CCSN</w:t>
        </w:r>
      </w:hyperlink>
      <w:r w:rsidRPr="00B306D2">
        <w:rPr>
          <w:lang w:val="fr-CA"/>
        </w:rPr>
        <w:t>.</w:t>
      </w:r>
    </w:p>
    <w:p w14:paraId="1C319DC9" w14:textId="0C4C392C" w:rsidR="00A52E2A" w:rsidRPr="00E96362" w:rsidRDefault="00A52E2A" w:rsidP="00A52E2A">
      <w:pPr>
        <w:pStyle w:val="BodyTextNoIndent"/>
        <w:rPr>
          <w:lang w:val="fr-CA"/>
        </w:rPr>
      </w:pPr>
      <w:r w:rsidRPr="00B16FAF">
        <w:rPr>
          <w:lang w:val="fr-CA"/>
        </w:rPr>
        <w:t xml:space="preserve">Le </w:t>
      </w:r>
      <w:r w:rsidR="00BF7FDF" w:rsidRPr="00B16FAF">
        <w:rPr>
          <w:lang w:val="fr-CA"/>
        </w:rPr>
        <w:t xml:space="preserve">document d’application de la réglementation </w:t>
      </w:r>
      <w:r w:rsidRPr="00B16FAF">
        <w:rPr>
          <w:lang w:val="fr-CA"/>
        </w:rPr>
        <w:t>REGDOC-</w:t>
      </w:r>
      <w:r w:rsidR="00C04F06" w:rsidRPr="00B16FAF">
        <w:rPr>
          <w:lang w:val="fr-CA"/>
        </w:rPr>
        <w:t>2.3.4</w:t>
      </w:r>
      <w:r w:rsidRPr="00B16FAF">
        <w:rPr>
          <w:lang w:val="fr-CA"/>
        </w:rPr>
        <w:t xml:space="preserve">, </w:t>
      </w:r>
      <w:r w:rsidR="00B16FAF" w:rsidRPr="00B16FAF">
        <w:rPr>
          <w:i/>
          <w:lang w:val="fr-CA"/>
        </w:rPr>
        <w:t xml:space="preserve">Programmes d’exploitation des installations dotées de </w:t>
      </w:r>
      <w:r w:rsidR="00B16FAF" w:rsidRPr="00E96362">
        <w:rPr>
          <w:i/>
          <w:lang w:val="fr-CA"/>
        </w:rPr>
        <w:t>réacteurs</w:t>
      </w:r>
      <w:r w:rsidR="00E96362" w:rsidRPr="00E96362">
        <w:rPr>
          <w:iCs/>
          <w:lang w:val="fr-CA"/>
        </w:rPr>
        <w:t>,</w:t>
      </w:r>
      <w:r w:rsidR="00E96362" w:rsidRPr="00E96362">
        <w:rPr>
          <w:i/>
          <w:lang w:val="fr-CA"/>
        </w:rPr>
        <w:t xml:space="preserve"> </w:t>
      </w:r>
      <w:r w:rsidR="00E96362" w:rsidRPr="00E96362">
        <w:rPr>
          <w:lang w:val="fr-CA"/>
        </w:rPr>
        <w:t>précise les exigences relatives à l’élaboration et à la mise en œuvre de programmes d’exploitation pour les installations dotées de réacteurs (centrales nucléaires, conceptions de réacteur avancé et petits réacteurs modulaires) et fournit des orientations à ce sujet. Ce document d’application de la réglementation repose sur l’expérience d’exploitation</w:t>
      </w:r>
      <w:r w:rsidR="00CC642A">
        <w:rPr>
          <w:lang w:val="fr-CA"/>
        </w:rPr>
        <w:t xml:space="preserve"> </w:t>
      </w:r>
      <w:r w:rsidR="00E96362" w:rsidRPr="00E96362">
        <w:rPr>
          <w:lang w:val="fr-CA"/>
        </w:rPr>
        <w:t>(OPEX) et les pratiques exemplaires issues du contexte des centrales nucléaires refroidies à l’eau. Cette information sera mise à jour à mesure que de nouvelles données seront obtenues des conceptions de réacteur avancé et des petits réacteurs modulaires. Les promoteurs, les demandeurs et les titulaires de permis pour des conceptions de réacteur avancé et des petits réacteurs modulaires devraient appliquer l’information et les concepts présentés dans ce document d’application de la réglementation dans la mesure du possible et de la façon qui convient le mieux à la conception en question.</w:t>
      </w:r>
    </w:p>
    <w:p w14:paraId="367EED2E" w14:textId="166418B7" w:rsidR="00A52E2A" w:rsidRDefault="00A52E2A" w:rsidP="00A52E2A">
      <w:pPr>
        <w:pStyle w:val="BodyTextNoIndent"/>
        <w:rPr>
          <w:lang w:val="fr-CA"/>
        </w:rPr>
      </w:pPr>
      <w:r w:rsidRPr="00C04F06">
        <w:rPr>
          <w:lang w:val="fr-CA"/>
        </w:rPr>
        <w:t>Il</w:t>
      </w:r>
      <w:r w:rsidRPr="00CD2FD8">
        <w:rPr>
          <w:lang w:val="fr-CA"/>
        </w:rPr>
        <w:t xml:space="preserve"> s’agit de la </w:t>
      </w:r>
      <w:r w:rsidR="00C04F06" w:rsidRPr="00C04F06">
        <w:rPr>
          <w:lang w:val="fr-CA"/>
        </w:rPr>
        <w:t xml:space="preserve">première </w:t>
      </w:r>
      <w:r w:rsidRPr="00C04F06">
        <w:rPr>
          <w:lang w:val="fr-CA"/>
        </w:rPr>
        <w:t>version</w:t>
      </w:r>
      <w:r w:rsidR="00C04F06" w:rsidRPr="00C04F06">
        <w:rPr>
          <w:lang w:val="fr-CA"/>
        </w:rPr>
        <w:t>.</w:t>
      </w:r>
    </w:p>
    <w:p w14:paraId="41D2904A" w14:textId="7019CEFE" w:rsidR="005520EA" w:rsidRPr="00E96362" w:rsidRDefault="00E96362" w:rsidP="005520EA">
      <w:pPr>
        <w:pStyle w:val="BodyTextNoIndent"/>
        <w:rPr>
          <w:lang w:val="fr-CA"/>
        </w:rPr>
      </w:pPr>
      <w:r w:rsidRPr="00E96362">
        <w:rPr>
          <w:lang w:val="fr-CA"/>
        </w:rPr>
        <w:t xml:space="preserve">Compte tenu de la vaste gamme d’installations dotées de réacteurs – spécialement au chapitre des conceptions de réacteur avancé et des petits réacteurs modulaires – et du fait que les profils de risque des installations dotées de réacteurs varient considérablement en fonction des caractéristiques de l’activité ou de l’installation, le promoteur, le demandeur ou le titulaire de permis peut proposer d’appliquer les exigences et l’orientation d’une manière graduelle qui tient compte du risque et qui cadrera avec le niveau de risque de l’activité réglementée ou peut proposer des solutions de rechange pour satisfaire aux exigences réglementaires, ainsi que le décrivent le </w:t>
      </w:r>
      <w:r w:rsidR="00D421B0" w:rsidRPr="00E96362">
        <w:rPr>
          <w:lang w:val="fr-CA"/>
        </w:rPr>
        <w:t>REGDOC</w:t>
      </w:r>
      <w:r w:rsidR="00D421B0" w:rsidRPr="00E96362">
        <w:rPr>
          <w:lang w:val="fr-CA"/>
        </w:rPr>
        <w:noBreakHyphen/>
        <w:t xml:space="preserve">1.1.5, </w:t>
      </w:r>
      <w:r w:rsidR="00D421B0" w:rsidRPr="00E96362">
        <w:rPr>
          <w:i/>
          <w:lang w:val="fr-CA"/>
        </w:rPr>
        <w:t>Renseignements supplémentaires pour les promoteurs de petits réacteurs modulaires</w:t>
      </w:r>
      <w:r w:rsidR="00D421B0" w:rsidRPr="00E96362">
        <w:rPr>
          <w:lang w:val="fr-CA"/>
        </w:rPr>
        <w:t>, et REGDOC</w:t>
      </w:r>
      <w:r w:rsidR="00D421B0" w:rsidRPr="00E96362">
        <w:rPr>
          <w:lang w:val="fr-CA"/>
        </w:rPr>
        <w:noBreakHyphen/>
        <w:t xml:space="preserve">3.5.3, </w:t>
      </w:r>
      <w:r w:rsidR="00D421B0" w:rsidRPr="00E96362">
        <w:rPr>
          <w:i/>
          <w:lang w:val="fr-CA"/>
        </w:rPr>
        <w:t>Principes fondamentaux de réglementation</w:t>
      </w:r>
      <w:r w:rsidR="00D421B0" w:rsidRPr="00E96362">
        <w:rPr>
          <w:lang w:val="fr-CA"/>
        </w:rPr>
        <w:t xml:space="preserve">. </w:t>
      </w:r>
      <w:r w:rsidRPr="00E96362">
        <w:rPr>
          <w:lang w:val="fr-CA"/>
        </w:rPr>
        <w:t>L’information présentée dans ce document d’application de la réglementation peut également être appliquée à d’autres activités ou étapes du processus d’autorisation (par exemple, la mise en service sans combustible en vertu d’un permis de construction, ou le déclassement).</w:t>
      </w:r>
    </w:p>
    <w:p w14:paraId="27961B80" w14:textId="77777777" w:rsidR="00A52E2A" w:rsidRPr="002C6BEC" w:rsidRDefault="00CE63A8" w:rsidP="00A52E2A">
      <w:pPr>
        <w:pStyle w:val="BodyTextNoIndent"/>
        <w:rPr>
          <w:lang w:val="fr-CA"/>
        </w:rPr>
      </w:pPr>
      <w:r>
        <w:rPr>
          <w:lang w:val="fr-CA"/>
        </w:rPr>
        <w:t>Pour en savoir plus sur la mise en œuvre des documents d’application de la réglementation et sur l’approche graduelle, consultez le REGDOC</w:t>
      </w:r>
      <w:r>
        <w:rPr>
          <w:lang w:val="fr-CA"/>
        </w:rPr>
        <w:noBreakHyphen/>
        <w:t xml:space="preserve">3.5.3, </w:t>
      </w:r>
      <w:r w:rsidRPr="00CE63A8">
        <w:rPr>
          <w:i/>
          <w:lang w:val="fr-CA"/>
        </w:rPr>
        <w:t>Principes fondamentaux de réglementation</w:t>
      </w:r>
      <w:r>
        <w:rPr>
          <w:lang w:val="fr-CA"/>
        </w:rPr>
        <w:t>.</w:t>
      </w:r>
    </w:p>
    <w:p w14:paraId="44A9CC1A" w14:textId="09FE7322" w:rsidR="00A52E2A" w:rsidRPr="002C6BEC" w:rsidRDefault="00A52E2A" w:rsidP="00A52E2A">
      <w:pPr>
        <w:pStyle w:val="LicensingNoteText"/>
        <w:rPr>
          <w:lang w:val="fr-CA"/>
        </w:rPr>
      </w:pPr>
      <w:r w:rsidRPr="002C6BEC">
        <w:rPr>
          <w:lang w:val="fr-CA"/>
        </w:rPr>
        <w:t>Le terme « doit » est employé pour exprimer une exigence à laquelle le titulaire ou le demandeur de permis doit se conformer; le terme « devrait » dénote une orientation ou une mesure conseillée; le terme « pourrait » exprime une option ou une mesure acceptable dans les limites de ce document d’application de la réglementation; et le terme « peut » exprime une possibilité ou une capacité.</w:t>
      </w:r>
    </w:p>
    <w:p w14:paraId="4107C9AD" w14:textId="77777777" w:rsidR="00A52E2A" w:rsidRPr="002C6BEC" w:rsidRDefault="00A52E2A" w:rsidP="00A52E2A">
      <w:pPr>
        <w:pStyle w:val="LicensingNoteText"/>
        <w:rPr>
          <w:lang w:val="fr-CA"/>
        </w:rPr>
      </w:pPr>
      <w:r w:rsidRPr="002C6BEC">
        <w:rPr>
          <w:lang w:val="fr-CA"/>
        </w:rPr>
        <w:t>Aucune information contenue dans le présent document ne doit être interprétée comme libérant le titulaire de permis de toute autre exigence pertinente. Le titulaire de permis a la responsabilité de prendre connaissance de tous les règlements et de toutes les conditions de permis applicables et d’y adhérer.</w:t>
      </w:r>
    </w:p>
    <w:p w14:paraId="62D0CF95" w14:textId="77777777" w:rsidR="00400F90" w:rsidRPr="002C6BEC" w:rsidRDefault="00400F90" w:rsidP="00A52E2A">
      <w:pPr>
        <w:pStyle w:val="BodyTextNoIndent"/>
        <w:rPr>
          <w:lang w:val="fr-CA"/>
        </w:rPr>
      </w:pPr>
    </w:p>
    <w:p w14:paraId="7FB869E1" w14:textId="77777777" w:rsidR="00A52E2A" w:rsidRPr="002C6BEC" w:rsidRDefault="00A52E2A" w:rsidP="00A52E2A">
      <w:pPr>
        <w:rPr>
          <w:lang w:val="fr-CA"/>
        </w:rPr>
        <w:sectPr w:rsidR="00A52E2A" w:rsidRPr="002C6BEC" w:rsidSect="000D4383">
          <w:headerReference w:type="even" r:id="rId29"/>
          <w:headerReference w:type="default" r:id="rId30"/>
          <w:footerReference w:type="default" r:id="rId31"/>
          <w:headerReference w:type="first" r:id="rId32"/>
          <w:type w:val="oddPage"/>
          <w:pgSz w:w="12240" w:h="15840" w:code="1"/>
          <w:pgMar w:top="1440" w:right="1440" w:bottom="1440" w:left="1440" w:header="720" w:footer="720" w:gutter="0"/>
          <w:pgNumType w:start="1"/>
          <w:cols w:space="720"/>
          <w:docGrid w:linePitch="360"/>
        </w:sectPr>
      </w:pPr>
    </w:p>
    <w:p w14:paraId="60C2EC60" w14:textId="77777777" w:rsidR="00A52E2A" w:rsidRPr="006D7328" w:rsidRDefault="00A52E2A" w:rsidP="00113A85">
      <w:pPr>
        <w:pStyle w:val="MainPageHeadingsNOTOC"/>
      </w:pPr>
      <w:r>
        <w:t>Table des matières</w:t>
      </w:r>
    </w:p>
    <w:p w14:paraId="03474F00" w14:textId="6490F8F8" w:rsidR="00AF76E6" w:rsidRDefault="00A52E2A">
      <w:pPr>
        <w:pStyle w:val="TOC1"/>
        <w:rPr>
          <w:rFonts w:asciiTheme="minorHAnsi" w:eastAsiaTheme="minorEastAsia" w:hAnsiTheme="minorHAnsi"/>
          <w:b w:val="0"/>
          <w:lang w:eastAsia="en-CA"/>
        </w:rPr>
      </w:pPr>
      <w:r>
        <w:fldChar w:fldCharType="begin"/>
      </w:r>
      <w:r>
        <w:instrText xml:space="preserve"> TOC \h \z \t "Heading 2,1,Heading 3,2,Heading 4,3,Main Page Headings TOC,1,Appendix_Heading,1,Appendix_Heading_2,2,Appendix_Heading_3,3,Appendix_Heading_4,4" </w:instrText>
      </w:r>
      <w:r>
        <w:fldChar w:fldCharType="separate"/>
      </w:r>
      <w:hyperlink w:anchor="_Toc152766280" w:history="1">
        <w:r w:rsidR="00AF76E6" w:rsidRPr="00A47E10">
          <w:rPr>
            <w:rStyle w:val="Hyperlink"/>
          </w:rPr>
          <w:t>1.</w:t>
        </w:r>
        <w:r w:rsidR="00AF76E6">
          <w:rPr>
            <w:rFonts w:asciiTheme="minorHAnsi" w:eastAsiaTheme="minorEastAsia" w:hAnsiTheme="minorHAnsi"/>
            <w:b w:val="0"/>
            <w:lang w:eastAsia="en-CA"/>
          </w:rPr>
          <w:tab/>
        </w:r>
        <w:r w:rsidR="00AF76E6" w:rsidRPr="00A47E10">
          <w:rPr>
            <w:rStyle w:val="Hyperlink"/>
          </w:rPr>
          <w:t>Introduction</w:t>
        </w:r>
        <w:r w:rsidR="00AF76E6">
          <w:rPr>
            <w:webHidden/>
          </w:rPr>
          <w:tab/>
        </w:r>
        <w:r w:rsidR="00AF76E6">
          <w:rPr>
            <w:webHidden/>
          </w:rPr>
          <w:fldChar w:fldCharType="begin"/>
        </w:r>
        <w:r w:rsidR="00AF76E6">
          <w:rPr>
            <w:webHidden/>
          </w:rPr>
          <w:instrText xml:space="preserve"> PAGEREF _Toc152766280 \h </w:instrText>
        </w:r>
        <w:r w:rsidR="00AF76E6">
          <w:rPr>
            <w:webHidden/>
          </w:rPr>
        </w:r>
        <w:r w:rsidR="00AF76E6">
          <w:rPr>
            <w:webHidden/>
          </w:rPr>
          <w:fldChar w:fldCharType="separate"/>
        </w:r>
        <w:r w:rsidR="00AF76E6">
          <w:rPr>
            <w:webHidden/>
          </w:rPr>
          <w:t>1</w:t>
        </w:r>
        <w:r w:rsidR="00AF76E6">
          <w:rPr>
            <w:webHidden/>
          </w:rPr>
          <w:fldChar w:fldCharType="end"/>
        </w:r>
      </w:hyperlink>
    </w:p>
    <w:p w14:paraId="61AE5A09" w14:textId="221E9AAA" w:rsidR="00AF76E6" w:rsidRDefault="00CB21A3">
      <w:pPr>
        <w:pStyle w:val="TOC2"/>
        <w:rPr>
          <w:rFonts w:asciiTheme="minorHAnsi" w:eastAsiaTheme="minorEastAsia" w:hAnsiTheme="minorHAnsi"/>
          <w:noProof/>
          <w:lang w:eastAsia="en-CA"/>
        </w:rPr>
      </w:pPr>
      <w:hyperlink w:anchor="_Toc152766281" w:history="1">
        <w:r w:rsidR="00AF76E6" w:rsidRPr="00A47E10">
          <w:rPr>
            <w:rStyle w:val="Hyperlink"/>
            <w:noProof/>
          </w:rPr>
          <w:t>1.1</w:t>
        </w:r>
        <w:r w:rsidR="00AF76E6">
          <w:rPr>
            <w:rFonts w:asciiTheme="minorHAnsi" w:eastAsiaTheme="minorEastAsia" w:hAnsiTheme="minorHAnsi"/>
            <w:noProof/>
            <w:lang w:eastAsia="en-CA"/>
          </w:rPr>
          <w:tab/>
        </w:r>
        <w:r w:rsidR="00AF76E6" w:rsidRPr="00A47E10">
          <w:rPr>
            <w:rStyle w:val="Hyperlink"/>
            <w:noProof/>
          </w:rPr>
          <w:t>Objet</w:t>
        </w:r>
        <w:r w:rsidR="00AF76E6">
          <w:rPr>
            <w:noProof/>
            <w:webHidden/>
          </w:rPr>
          <w:tab/>
        </w:r>
        <w:r w:rsidR="00AF76E6">
          <w:rPr>
            <w:noProof/>
            <w:webHidden/>
          </w:rPr>
          <w:fldChar w:fldCharType="begin"/>
        </w:r>
        <w:r w:rsidR="00AF76E6">
          <w:rPr>
            <w:noProof/>
            <w:webHidden/>
          </w:rPr>
          <w:instrText xml:space="preserve"> PAGEREF _Toc152766281 \h </w:instrText>
        </w:r>
        <w:r w:rsidR="00AF76E6">
          <w:rPr>
            <w:noProof/>
            <w:webHidden/>
          </w:rPr>
        </w:r>
        <w:r w:rsidR="00AF76E6">
          <w:rPr>
            <w:noProof/>
            <w:webHidden/>
          </w:rPr>
          <w:fldChar w:fldCharType="separate"/>
        </w:r>
        <w:r w:rsidR="00AF76E6">
          <w:rPr>
            <w:noProof/>
            <w:webHidden/>
          </w:rPr>
          <w:t>1</w:t>
        </w:r>
        <w:r w:rsidR="00AF76E6">
          <w:rPr>
            <w:noProof/>
            <w:webHidden/>
          </w:rPr>
          <w:fldChar w:fldCharType="end"/>
        </w:r>
      </w:hyperlink>
    </w:p>
    <w:p w14:paraId="78C0FD76" w14:textId="45F37878" w:rsidR="00AF76E6" w:rsidRDefault="00CB21A3">
      <w:pPr>
        <w:pStyle w:val="TOC2"/>
        <w:rPr>
          <w:rFonts w:asciiTheme="minorHAnsi" w:eastAsiaTheme="minorEastAsia" w:hAnsiTheme="minorHAnsi"/>
          <w:noProof/>
          <w:lang w:eastAsia="en-CA"/>
        </w:rPr>
      </w:pPr>
      <w:hyperlink w:anchor="_Toc152766282" w:history="1">
        <w:r w:rsidR="00AF76E6" w:rsidRPr="00A47E10">
          <w:rPr>
            <w:rStyle w:val="Hyperlink"/>
            <w:noProof/>
          </w:rPr>
          <w:t>1.2</w:t>
        </w:r>
        <w:r w:rsidR="00AF76E6">
          <w:rPr>
            <w:rFonts w:asciiTheme="minorHAnsi" w:eastAsiaTheme="minorEastAsia" w:hAnsiTheme="minorHAnsi"/>
            <w:noProof/>
            <w:lang w:eastAsia="en-CA"/>
          </w:rPr>
          <w:tab/>
        </w:r>
        <w:r w:rsidR="00AF76E6" w:rsidRPr="00A47E10">
          <w:rPr>
            <w:rStyle w:val="Hyperlink"/>
            <w:noProof/>
          </w:rPr>
          <w:t>Portée</w:t>
        </w:r>
        <w:r w:rsidR="00AF76E6">
          <w:rPr>
            <w:noProof/>
            <w:webHidden/>
          </w:rPr>
          <w:tab/>
        </w:r>
        <w:r w:rsidR="00AF76E6">
          <w:rPr>
            <w:noProof/>
            <w:webHidden/>
          </w:rPr>
          <w:fldChar w:fldCharType="begin"/>
        </w:r>
        <w:r w:rsidR="00AF76E6">
          <w:rPr>
            <w:noProof/>
            <w:webHidden/>
          </w:rPr>
          <w:instrText xml:space="preserve"> PAGEREF _Toc152766282 \h </w:instrText>
        </w:r>
        <w:r w:rsidR="00AF76E6">
          <w:rPr>
            <w:noProof/>
            <w:webHidden/>
          </w:rPr>
        </w:r>
        <w:r w:rsidR="00AF76E6">
          <w:rPr>
            <w:noProof/>
            <w:webHidden/>
          </w:rPr>
          <w:fldChar w:fldCharType="separate"/>
        </w:r>
        <w:r w:rsidR="00AF76E6">
          <w:rPr>
            <w:noProof/>
            <w:webHidden/>
          </w:rPr>
          <w:t>1</w:t>
        </w:r>
        <w:r w:rsidR="00AF76E6">
          <w:rPr>
            <w:noProof/>
            <w:webHidden/>
          </w:rPr>
          <w:fldChar w:fldCharType="end"/>
        </w:r>
      </w:hyperlink>
    </w:p>
    <w:p w14:paraId="1EC881D1" w14:textId="4EA41838" w:rsidR="00AF76E6" w:rsidRDefault="00CB21A3">
      <w:pPr>
        <w:pStyle w:val="TOC2"/>
        <w:rPr>
          <w:rFonts w:asciiTheme="minorHAnsi" w:eastAsiaTheme="minorEastAsia" w:hAnsiTheme="minorHAnsi"/>
          <w:noProof/>
          <w:lang w:eastAsia="en-CA"/>
        </w:rPr>
      </w:pPr>
      <w:hyperlink w:anchor="_Toc152766283" w:history="1">
        <w:r w:rsidR="00AF76E6" w:rsidRPr="00A47E10">
          <w:rPr>
            <w:rStyle w:val="Hyperlink"/>
            <w:noProof/>
          </w:rPr>
          <w:t>1.3</w:t>
        </w:r>
        <w:r w:rsidR="00AF76E6">
          <w:rPr>
            <w:rFonts w:asciiTheme="minorHAnsi" w:eastAsiaTheme="minorEastAsia" w:hAnsiTheme="minorHAnsi"/>
            <w:noProof/>
            <w:lang w:eastAsia="en-CA"/>
          </w:rPr>
          <w:tab/>
        </w:r>
        <w:r w:rsidR="00AF76E6" w:rsidRPr="00A47E10">
          <w:rPr>
            <w:rStyle w:val="Hyperlink"/>
            <w:noProof/>
          </w:rPr>
          <w:t>Législation pertinente</w:t>
        </w:r>
        <w:r w:rsidR="00AF76E6">
          <w:rPr>
            <w:noProof/>
            <w:webHidden/>
          </w:rPr>
          <w:tab/>
        </w:r>
        <w:r w:rsidR="00AF76E6">
          <w:rPr>
            <w:noProof/>
            <w:webHidden/>
          </w:rPr>
          <w:fldChar w:fldCharType="begin"/>
        </w:r>
        <w:r w:rsidR="00AF76E6">
          <w:rPr>
            <w:noProof/>
            <w:webHidden/>
          </w:rPr>
          <w:instrText xml:space="preserve"> PAGEREF _Toc152766283 \h </w:instrText>
        </w:r>
        <w:r w:rsidR="00AF76E6">
          <w:rPr>
            <w:noProof/>
            <w:webHidden/>
          </w:rPr>
        </w:r>
        <w:r w:rsidR="00AF76E6">
          <w:rPr>
            <w:noProof/>
            <w:webHidden/>
          </w:rPr>
          <w:fldChar w:fldCharType="separate"/>
        </w:r>
        <w:r w:rsidR="00AF76E6">
          <w:rPr>
            <w:noProof/>
            <w:webHidden/>
          </w:rPr>
          <w:t>2</w:t>
        </w:r>
        <w:r w:rsidR="00AF76E6">
          <w:rPr>
            <w:noProof/>
            <w:webHidden/>
          </w:rPr>
          <w:fldChar w:fldCharType="end"/>
        </w:r>
      </w:hyperlink>
    </w:p>
    <w:p w14:paraId="0D2902C6" w14:textId="678202A9" w:rsidR="00AF76E6" w:rsidRDefault="00CB21A3">
      <w:pPr>
        <w:pStyle w:val="TOC2"/>
        <w:rPr>
          <w:rFonts w:asciiTheme="minorHAnsi" w:eastAsiaTheme="minorEastAsia" w:hAnsiTheme="minorHAnsi"/>
          <w:noProof/>
          <w:lang w:eastAsia="en-CA"/>
        </w:rPr>
      </w:pPr>
      <w:hyperlink w:anchor="_Toc152766284" w:history="1">
        <w:r w:rsidR="00AF76E6" w:rsidRPr="00A47E10">
          <w:rPr>
            <w:rStyle w:val="Hyperlink"/>
            <w:noProof/>
            <w:lang w:val="fr-CA"/>
          </w:rPr>
          <w:t>1.4</w:t>
        </w:r>
        <w:r w:rsidR="00AF76E6">
          <w:rPr>
            <w:rFonts w:asciiTheme="minorHAnsi" w:eastAsiaTheme="minorEastAsia" w:hAnsiTheme="minorHAnsi"/>
            <w:noProof/>
            <w:lang w:eastAsia="en-CA"/>
          </w:rPr>
          <w:tab/>
        </w:r>
        <w:r w:rsidR="00AF76E6" w:rsidRPr="00A47E10">
          <w:rPr>
            <w:rStyle w:val="Hyperlink"/>
            <w:noProof/>
            <w:lang w:val="fr-CA"/>
          </w:rPr>
          <w:t>Normes nationales et internationales</w:t>
        </w:r>
        <w:r w:rsidR="00AF76E6">
          <w:rPr>
            <w:noProof/>
            <w:webHidden/>
          </w:rPr>
          <w:tab/>
        </w:r>
        <w:r w:rsidR="00AF76E6">
          <w:rPr>
            <w:noProof/>
            <w:webHidden/>
          </w:rPr>
          <w:fldChar w:fldCharType="begin"/>
        </w:r>
        <w:r w:rsidR="00AF76E6">
          <w:rPr>
            <w:noProof/>
            <w:webHidden/>
          </w:rPr>
          <w:instrText xml:space="preserve"> PAGEREF _Toc152766284 \h </w:instrText>
        </w:r>
        <w:r w:rsidR="00AF76E6">
          <w:rPr>
            <w:noProof/>
            <w:webHidden/>
          </w:rPr>
        </w:r>
        <w:r w:rsidR="00AF76E6">
          <w:rPr>
            <w:noProof/>
            <w:webHidden/>
          </w:rPr>
          <w:fldChar w:fldCharType="separate"/>
        </w:r>
        <w:r w:rsidR="00AF76E6">
          <w:rPr>
            <w:noProof/>
            <w:webHidden/>
          </w:rPr>
          <w:t>2</w:t>
        </w:r>
        <w:r w:rsidR="00AF76E6">
          <w:rPr>
            <w:noProof/>
            <w:webHidden/>
          </w:rPr>
          <w:fldChar w:fldCharType="end"/>
        </w:r>
      </w:hyperlink>
    </w:p>
    <w:p w14:paraId="795C2338" w14:textId="4B6E3166" w:rsidR="00AF76E6" w:rsidRDefault="00CB21A3">
      <w:pPr>
        <w:pStyle w:val="TOC1"/>
        <w:rPr>
          <w:rFonts w:asciiTheme="minorHAnsi" w:eastAsiaTheme="minorEastAsia" w:hAnsiTheme="minorHAnsi"/>
          <w:b w:val="0"/>
          <w:lang w:eastAsia="en-CA"/>
        </w:rPr>
      </w:pPr>
      <w:hyperlink w:anchor="_Toc152766285" w:history="1">
        <w:r w:rsidR="00AF76E6" w:rsidRPr="00A47E10">
          <w:rPr>
            <w:rStyle w:val="Hyperlink"/>
            <w:lang w:val="fr-CA"/>
          </w:rPr>
          <w:t>2.</w:t>
        </w:r>
        <w:r w:rsidR="00AF76E6">
          <w:rPr>
            <w:rFonts w:asciiTheme="minorHAnsi" w:eastAsiaTheme="minorEastAsia" w:hAnsiTheme="minorHAnsi"/>
            <w:b w:val="0"/>
            <w:lang w:eastAsia="en-CA"/>
          </w:rPr>
          <w:tab/>
        </w:r>
        <w:r w:rsidR="00AF76E6" w:rsidRPr="00A47E10">
          <w:rPr>
            <w:rStyle w:val="Hyperlink"/>
            <w:lang w:val="fr-CA"/>
          </w:rPr>
          <w:t>Programme d’exploitation</w:t>
        </w:r>
        <w:r w:rsidR="00AF76E6">
          <w:rPr>
            <w:webHidden/>
          </w:rPr>
          <w:tab/>
        </w:r>
        <w:r w:rsidR="00AF76E6">
          <w:rPr>
            <w:webHidden/>
          </w:rPr>
          <w:fldChar w:fldCharType="begin"/>
        </w:r>
        <w:r w:rsidR="00AF76E6">
          <w:rPr>
            <w:webHidden/>
          </w:rPr>
          <w:instrText xml:space="preserve"> PAGEREF _Toc152766285 \h </w:instrText>
        </w:r>
        <w:r w:rsidR="00AF76E6">
          <w:rPr>
            <w:webHidden/>
          </w:rPr>
        </w:r>
        <w:r w:rsidR="00AF76E6">
          <w:rPr>
            <w:webHidden/>
          </w:rPr>
          <w:fldChar w:fldCharType="separate"/>
        </w:r>
        <w:r w:rsidR="00AF76E6">
          <w:rPr>
            <w:webHidden/>
          </w:rPr>
          <w:t>2</w:t>
        </w:r>
        <w:r w:rsidR="00AF76E6">
          <w:rPr>
            <w:webHidden/>
          </w:rPr>
          <w:fldChar w:fldCharType="end"/>
        </w:r>
      </w:hyperlink>
    </w:p>
    <w:p w14:paraId="5EC00B83" w14:textId="36F03C18" w:rsidR="00AF76E6" w:rsidRDefault="00CB21A3">
      <w:pPr>
        <w:pStyle w:val="TOC2"/>
        <w:rPr>
          <w:rFonts w:asciiTheme="minorHAnsi" w:eastAsiaTheme="minorEastAsia" w:hAnsiTheme="minorHAnsi"/>
          <w:noProof/>
          <w:lang w:eastAsia="en-CA"/>
        </w:rPr>
      </w:pPr>
      <w:hyperlink w:anchor="_Toc152766286" w:history="1">
        <w:r w:rsidR="00AF76E6" w:rsidRPr="00A47E10">
          <w:rPr>
            <w:rStyle w:val="Hyperlink"/>
            <w:noProof/>
            <w:lang w:val="fr-CA"/>
          </w:rPr>
          <w:t>2.1</w:t>
        </w:r>
        <w:r w:rsidR="00AF76E6">
          <w:rPr>
            <w:rFonts w:asciiTheme="minorHAnsi" w:eastAsiaTheme="minorEastAsia" w:hAnsiTheme="minorHAnsi"/>
            <w:noProof/>
            <w:lang w:eastAsia="en-CA"/>
          </w:rPr>
          <w:tab/>
        </w:r>
        <w:r w:rsidR="00AF76E6" w:rsidRPr="00A47E10">
          <w:rPr>
            <w:rStyle w:val="Hyperlink"/>
            <w:noProof/>
            <w:lang w:val="fr-CA"/>
          </w:rPr>
          <w:t>Aperçu général</w:t>
        </w:r>
        <w:r w:rsidR="00AF76E6">
          <w:rPr>
            <w:noProof/>
            <w:webHidden/>
          </w:rPr>
          <w:tab/>
        </w:r>
        <w:r w:rsidR="00AF76E6">
          <w:rPr>
            <w:noProof/>
            <w:webHidden/>
          </w:rPr>
          <w:fldChar w:fldCharType="begin"/>
        </w:r>
        <w:r w:rsidR="00AF76E6">
          <w:rPr>
            <w:noProof/>
            <w:webHidden/>
          </w:rPr>
          <w:instrText xml:space="preserve"> PAGEREF _Toc152766286 \h </w:instrText>
        </w:r>
        <w:r w:rsidR="00AF76E6">
          <w:rPr>
            <w:noProof/>
            <w:webHidden/>
          </w:rPr>
        </w:r>
        <w:r w:rsidR="00AF76E6">
          <w:rPr>
            <w:noProof/>
            <w:webHidden/>
          </w:rPr>
          <w:fldChar w:fldCharType="separate"/>
        </w:r>
        <w:r w:rsidR="00AF76E6">
          <w:rPr>
            <w:noProof/>
            <w:webHidden/>
          </w:rPr>
          <w:t>2</w:t>
        </w:r>
        <w:r w:rsidR="00AF76E6">
          <w:rPr>
            <w:noProof/>
            <w:webHidden/>
          </w:rPr>
          <w:fldChar w:fldCharType="end"/>
        </w:r>
      </w:hyperlink>
    </w:p>
    <w:p w14:paraId="08867749" w14:textId="1E4B1A21" w:rsidR="00AF76E6" w:rsidRDefault="00CB21A3">
      <w:pPr>
        <w:pStyle w:val="TOC2"/>
        <w:rPr>
          <w:rFonts w:asciiTheme="minorHAnsi" w:eastAsiaTheme="minorEastAsia" w:hAnsiTheme="minorHAnsi"/>
          <w:noProof/>
          <w:lang w:eastAsia="en-CA"/>
        </w:rPr>
      </w:pPr>
      <w:hyperlink w:anchor="_Toc152766287" w:history="1">
        <w:r w:rsidR="00AF76E6" w:rsidRPr="00A47E10">
          <w:rPr>
            <w:rStyle w:val="Hyperlink"/>
            <w:noProof/>
            <w:lang w:val="fr-CA"/>
          </w:rPr>
          <w:t>2.2</w:t>
        </w:r>
        <w:r w:rsidR="00AF76E6">
          <w:rPr>
            <w:rFonts w:asciiTheme="minorHAnsi" w:eastAsiaTheme="minorEastAsia" w:hAnsiTheme="minorHAnsi"/>
            <w:noProof/>
            <w:lang w:eastAsia="en-CA"/>
          </w:rPr>
          <w:tab/>
        </w:r>
        <w:r w:rsidR="00AF76E6" w:rsidRPr="00A47E10">
          <w:rPr>
            <w:rStyle w:val="Hyperlink"/>
            <w:noProof/>
            <w:lang w:val="fr-CA"/>
          </w:rPr>
          <w:t>Programmes d’interfaçage</w:t>
        </w:r>
        <w:r w:rsidR="00AF76E6">
          <w:rPr>
            <w:noProof/>
            <w:webHidden/>
          </w:rPr>
          <w:tab/>
        </w:r>
        <w:r w:rsidR="00AF76E6">
          <w:rPr>
            <w:noProof/>
            <w:webHidden/>
          </w:rPr>
          <w:fldChar w:fldCharType="begin"/>
        </w:r>
        <w:r w:rsidR="00AF76E6">
          <w:rPr>
            <w:noProof/>
            <w:webHidden/>
          </w:rPr>
          <w:instrText xml:space="preserve"> PAGEREF _Toc152766287 \h </w:instrText>
        </w:r>
        <w:r w:rsidR="00AF76E6">
          <w:rPr>
            <w:noProof/>
            <w:webHidden/>
          </w:rPr>
        </w:r>
        <w:r w:rsidR="00AF76E6">
          <w:rPr>
            <w:noProof/>
            <w:webHidden/>
          </w:rPr>
          <w:fldChar w:fldCharType="separate"/>
        </w:r>
        <w:r w:rsidR="00AF76E6">
          <w:rPr>
            <w:noProof/>
            <w:webHidden/>
          </w:rPr>
          <w:t>3</w:t>
        </w:r>
        <w:r w:rsidR="00AF76E6">
          <w:rPr>
            <w:noProof/>
            <w:webHidden/>
          </w:rPr>
          <w:fldChar w:fldCharType="end"/>
        </w:r>
      </w:hyperlink>
    </w:p>
    <w:p w14:paraId="299AE511" w14:textId="0DD45B33" w:rsidR="00AF76E6" w:rsidRDefault="00CB21A3">
      <w:pPr>
        <w:pStyle w:val="TOC2"/>
        <w:rPr>
          <w:rFonts w:asciiTheme="minorHAnsi" w:eastAsiaTheme="minorEastAsia" w:hAnsiTheme="minorHAnsi"/>
          <w:noProof/>
          <w:lang w:eastAsia="en-CA"/>
        </w:rPr>
      </w:pPr>
      <w:hyperlink w:anchor="_Toc152766288" w:history="1">
        <w:r w:rsidR="00AF76E6" w:rsidRPr="00A47E10">
          <w:rPr>
            <w:rStyle w:val="Hyperlink"/>
            <w:noProof/>
            <w:lang w:val="fr-CA"/>
          </w:rPr>
          <w:t>2.3</w:t>
        </w:r>
        <w:r w:rsidR="00AF76E6">
          <w:rPr>
            <w:rFonts w:asciiTheme="minorHAnsi" w:eastAsiaTheme="minorEastAsia" w:hAnsiTheme="minorHAnsi"/>
            <w:noProof/>
            <w:lang w:eastAsia="en-CA"/>
          </w:rPr>
          <w:tab/>
        </w:r>
        <w:r w:rsidR="00AF76E6" w:rsidRPr="00A47E10">
          <w:rPr>
            <w:rStyle w:val="Hyperlink"/>
            <w:noProof/>
            <w:lang w:val="fr-CA"/>
          </w:rPr>
          <w:t>Organisation exploitante</w:t>
        </w:r>
        <w:r w:rsidR="00AF76E6">
          <w:rPr>
            <w:noProof/>
            <w:webHidden/>
          </w:rPr>
          <w:tab/>
        </w:r>
        <w:r w:rsidR="00AF76E6">
          <w:rPr>
            <w:noProof/>
            <w:webHidden/>
          </w:rPr>
          <w:fldChar w:fldCharType="begin"/>
        </w:r>
        <w:r w:rsidR="00AF76E6">
          <w:rPr>
            <w:noProof/>
            <w:webHidden/>
          </w:rPr>
          <w:instrText xml:space="preserve"> PAGEREF _Toc152766288 \h </w:instrText>
        </w:r>
        <w:r w:rsidR="00AF76E6">
          <w:rPr>
            <w:noProof/>
            <w:webHidden/>
          </w:rPr>
        </w:r>
        <w:r w:rsidR="00AF76E6">
          <w:rPr>
            <w:noProof/>
            <w:webHidden/>
          </w:rPr>
          <w:fldChar w:fldCharType="separate"/>
        </w:r>
        <w:r w:rsidR="00AF76E6">
          <w:rPr>
            <w:noProof/>
            <w:webHidden/>
          </w:rPr>
          <w:t>4</w:t>
        </w:r>
        <w:r w:rsidR="00AF76E6">
          <w:rPr>
            <w:noProof/>
            <w:webHidden/>
          </w:rPr>
          <w:fldChar w:fldCharType="end"/>
        </w:r>
      </w:hyperlink>
    </w:p>
    <w:p w14:paraId="365283D6" w14:textId="62BF56FE" w:rsidR="00AF76E6" w:rsidRDefault="00CB21A3">
      <w:pPr>
        <w:pStyle w:val="TOC3"/>
        <w:rPr>
          <w:rFonts w:asciiTheme="minorHAnsi" w:eastAsiaTheme="minorEastAsia" w:hAnsiTheme="minorHAnsi"/>
          <w:noProof/>
          <w:lang w:eastAsia="en-CA"/>
        </w:rPr>
      </w:pPr>
      <w:hyperlink w:anchor="_Toc152766289" w:history="1">
        <w:r w:rsidR="00AF76E6" w:rsidRPr="00A47E10">
          <w:rPr>
            <w:rStyle w:val="Hyperlink"/>
            <w:noProof/>
            <w:lang w:val="fr-CA"/>
          </w:rPr>
          <w:t>2.3.1</w:t>
        </w:r>
        <w:r w:rsidR="00AF76E6">
          <w:rPr>
            <w:rFonts w:asciiTheme="minorHAnsi" w:eastAsiaTheme="minorEastAsia" w:hAnsiTheme="minorHAnsi"/>
            <w:noProof/>
            <w:lang w:eastAsia="en-CA"/>
          </w:rPr>
          <w:tab/>
        </w:r>
        <w:r w:rsidR="00AF76E6" w:rsidRPr="00A47E10">
          <w:rPr>
            <w:rStyle w:val="Hyperlink"/>
            <w:noProof/>
            <w:lang w:val="fr-CA"/>
          </w:rPr>
          <w:t>Attentes à l’égard des gestionnaires de service des opérations</w:t>
        </w:r>
        <w:r w:rsidR="00AF76E6">
          <w:rPr>
            <w:noProof/>
            <w:webHidden/>
          </w:rPr>
          <w:tab/>
        </w:r>
        <w:r w:rsidR="00AF76E6">
          <w:rPr>
            <w:noProof/>
            <w:webHidden/>
          </w:rPr>
          <w:fldChar w:fldCharType="begin"/>
        </w:r>
        <w:r w:rsidR="00AF76E6">
          <w:rPr>
            <w:noProof/>
            <w:webHidden/>
          </w:rPr>
          <w:instrText xml:space="preserve"> PAGEREF _Toc152766289 \h </w:instrText>
        </w:r>
        <w:r w:rsidR="00AF76E6">
          <w:rPr>
            <w:noProof/>
            <w:webHidden/>
          </w:rPr>
        </w:r>
        <w:r w:rsidR="00AF76E6">
          <w:rPr>
            <w:noProof/>
            <w:webHidden/>
          </w:rPr>
          <w:fldChar w:fldCharType="separate"/>
        </w:r>
        <w:r w:rsidR="00AF76E6">
          <w:rPr>
            <w:noProof/>
            <w:webHidden/>
          </w:rPr>
          <w:t>4</w:t>
        </w:r>
        <w:r w:rsidR="00AF76E6">
          <w:rPr>
            <w:noProof/>
            <w:webHidden/>
          </w:rPr>
          <w:fldChar w:fldCharType="end"/>
        </w:r>
      </w:hyperlink>
    </w:p>
    <w:p w14:paraId="1698673C" w14:textId="11643E77" w:rsidR="00AF76E6" w:rsidRDefault="00CB21A3">
      <w:pPr>
        <w:pStyle w:val="TOC3"/>
        <w:rPr>
          <w:rFonts w:asciiTheme="minorHAnsi" w:eastAsiaTheme="minorEastAsia" w:hAnsiTheme="minorHAnsi"/>
          <w:noProof/>
          <w:lang w:eastAsia="en-CA"/>
        </w:rPr>
      </w:pPr>
      <w:hyperlink w:anchor="_Toc152766290" w:history="1">
        <w:r w:rsidR="00AF76E6" w:rsidRPr="00A47E10">
          <w:rPr>
            <w:rStyle w:val="Hyperlink"/>
            <w:noProof/>
            <w:lang w:val="fr-CA"/>
          </w:rPr>
          <w:t>2.3.2</w:t>
        </w:r>
        <w:r w:rsidR="00AF76E6">
          <w:rPr>
            <w:rFonts w:asciiTheme="minorHAnsi" w:eastAsiaTheme="minorEastAsia" w:hAnsiTheme="minorHAnsi"/>
            <w:noProof/>
            <w:lang w:eastAsia="en-CA"/>
          </w:rPr>
          <w:tab/>
        </w:r>
        <w:r w:rsidR="00AF76E6" w:rsidRPr="00A47E10">
          <w:rPr>
            <w:rStyle w:val="Hyperlink"/>
            <w:noProof/>
            <w:lang w:val="fr-CA"/>
          </w:rPr>
          <w:t>Prise de décisions en matière d’exploitation</w:t>
        </w:r>
        <w:r w:rsidR="00AF76E6">
          <w:rPr>
            <w:noProof/>
            <w:webHidden/>
          </w:rPr>
          <w:tab/>
        </w:r>
        <w:r w:rsidR="00AF76E6">
          <w:rPr>
            <w:noProof/>
            <w:webHidden/>
          </w:rPr>
          <w:fldChar w:fldCharType="begin"/>
        </w:r>
        <w:r w:rsidR="00AF76E6">
          <w:rPr>
            <w:noProof/>
            <w:webHidden/>
          </w:rPr>
          <w:instrText xml:space="preserve"> PAGEREF _Toc152766290 \h </w:instrText>
        </w:r>
        <w:r w:rsidR="00AF76E6">
          <w:rPr>
            <w:noProof/>
            <w:webHidden/>
          </w:rPr>
        </w:r>
        <w:r w:rsidR="00AF76E6">
          <w:rPr>
            <w:noProof/>
            <w:webHidden/>
          </w:rPr>
          <w:fldChar w:fldCharType="separate"/>
        </w:r>
        <w:r w:rsidR="00AF76E6">
          <w:rPr>
            <w:noProof/>
            <w:webHidden/>
          </w:rPr>
          <w:t>6</w:t>
        </w:r>
        <w:r w:rsidR="00AF76E6">
          <w:rPr>
            <w:noProof/>
            <w:webHidden/>
          </w:rPr>
          <w:fldChar w:fldCharType="end"/>
        </w:r>
      </w:hyperlink>
    </w:p>
    <w:p w14:paraId="6FBD2F01" w14:textId="4D513B98" w:rsidR="00AF76E6" w:rsidRDefault="00CB21A3">
      <w:pPr>
        <w:pStyle w:val="TOC1"/>
        <w:rPr>
          <w:rFonts w:asciiTheme="minorHAnsi" w:eastAsiaTheme="minorEastAsia" w:hAnsiTheme="minorHAnsi"/>
          <w:b w:val="0"/>
          <w:lang w:eastAsia="en-CA"/>
        </w:rPr>
      </w:pPr>
      <w:hyperlink w:anchor="_Toc152766291" w:history="1">
        <w:r w:rsidR="00AF76E6" w:rsidRPr="00A47E10">
          <w:rPr>
            <w:rStyle w:val="Hyperlink"/>
            <w:lang w:val="fr-CA"/>
          </w:rPr>
          <w:t>3.</w:t>
        </w:r>
        <w:r w:rsidR="00AF76E6">
          <w:rPr>
            <w:rFonts w:asciiTheme="minorHAnsi" w:eastAsiaTheme="minorEastAsia" w:hAnsiTheme="minorHAnsi"/>
            <w:b w:val="0"/>
            <w:lang w:eastAsia="en-CA"/>
          </w:rPr>
          <w:tab/>
        </w:r>
        <w:r w:rsidR="00AF76E6" w:rsidRPr="00A47E10">
          <w:rPr>
            <w:rStyle w:val="Hyperlink"/>
            <w:lang w:val="fr-CA"/>
          </w:rPr>
          <w:t>Réalisation des activités de l’installation</w:t>
        </w:r>
        <w:r w:rsidR="00AF76E6">
          <w:rPr>
            <w:webHidden/>
          </w:rPr>
          <w:tab/>
        </w:r>
        <w:r w:rsidR="00AF76E6">
          <w:rPr>
            <w:webHidden/>
          </w:rPr>
          <w:fldChar w:fldCharType="begin"/>
        </w:r>
        <w:r w:rsidR="00AF76E6">
          <w:rPr>
            <w:webHidden/>
          </w:rPr>
          <w:instrText xml:space="preserve"> PAGEREF _Toc152766291 \h </w:instrText>
        </w:r>
        <w:r w:rsidR="00AF76E6">
          <w:rPr>
            <w:webHidden/>
          </w:rPr>
        </w:r>
        <w:r w:rsidR="00AF76E6">
          <w:rPr>
            <w:webHidden/>
          </w:rPr>
          <w:fldChar w:fldCharType="separate"/>
        </w:r>
        <w:r w:rsidR="00AF76E6">
          <w:rPr>
            <w:webHidden/>
          </w:rPr>
          <w:t>7</w:t>
        </w:r>
        <w:r w:rsidR="00AF76E6">
          <w:rPr>
            <w:webHidden/>
          </w:rPr>
          <w:fldChar w:fldCharType="end"/>
        </w:r>
      </w:hyperlink>
    </w:p>
    <w:p w14:paraId="47C11AC5" w14:textId="2E4CA1FA" w:rsidR="00AF76E6" w:rsidRDefault="00CB21A3">
      <w:pPr>
        <w:pStyle w:val="TOC2"/>
        <w:rPr>
          <w:rFonts w:asciiTheme="minorHAnsi" w:eastAsiaTheme="minorEastAsia" w:hAnsiTheme="minorHAnsi"/>
          <w:noProof/>
          <w:lang w:eastAsia="en-CA"/>
        </w:rPr>
      </w:pPr>
      <w:hyperlink w:anchor="_Toc152766292" w:history="1">
        <w:r w:rsidR="00AF76E6" w:rsidRPr="00A47E10">
          <w:rPr>
            <w:rStyle w:val="Hyperlink"/>
            <w:noProof/>
            <w:lang w:val="fr-CA"/>
          </w:rPr>
          <w:t>3.1</w:t>
        </w:r>
        <w:r w:rsidR="00AF76E6">
          <w:rPr>
            <w:rFonts w:asciiTheme="minorHAnsi" w:eastAsiaTheme="minorEastAsia" w:hAnsiTheme="minorHAnsi"/>
            <w:noProof/>
            <w:lang w:eastAsia="en-CA"/>
          </w:rPr>
          <w:tab/>
        </w:r>
        <w:r w:rsidR="00AF76E6" w:rsidRPr="00A47E10">
          <w:rPr>
            <w:rStyle w:val="Hyperlink"/>
            <w:noProof/>
            <w:lang w:val="fr-CA"/>
          </w:rPr>
          <w:t>Contrôle des activités de l’installation</w:t>
        </w:r>
        <w:r w:rsidR="00AF76E6">
          <w:rPr>
            <w:noProof/>
            <w:webHidden/>
          </w:rPr>
          <w:tab/>
        </w:r>
        <w:r w:rsidR="00AF76E6">
          <w:rPr>
            <w:noProof/>
            <w:webHidden/>
          </w:rPr>
          <w:fldChar w:fldCharType="begin"/>
        </w:r>
        <w:r w:rsidR="00AF76E6">
          <w:rPr>
            <w:noProof/>
            <w:webHidden/>
          </w:rPr>
          <w:instrText xml:space="preserve"> PAGEREF _Toc152766292 \h </w:instrText>
        </w:r>
        <w:r w:rsidR="00AF76E6">
          <w:rPr>
            <w:noProof/>
            <w:webHidden/>
          </w:rPr>
        </w:r>
        <w:r w:rsidR="00AF76E6">
          <w:rPr>
            <w:noProof/>
            <w:webHidden/>
          </w:rPr>
          <w:fldChar w:fldCharType="separate"/>
        </w:r>
        <w:r w:rsidR="00AF76E6">
          <w:rPr>
            <w:noProof/>
            <w:webHidden/>
          </w:rPr>
          <w:t>7</w:t>
        </w:r>
        <w:r w:rsidR="00AF76E6">
          <w:rPr>
            <w:noProof/>
            <w:webHidden/>
          </w:rPr>
          <w:fldChar w:fldCharType="end"/>
        </w:r>
      </w:hyperlink>
    </w:p>
    <w:p w14:paraId="562CD680" w14:textId="2BFEBFF8" w:rsidR="00AF76E6" w:rsidRDefault="00CB21A3">
      <w:pPr>
        <w:pStyle w:val="TOC3"/>
        <w:rPr>
          <w:rFonts w:asciiTheme="minorHAnsi" w:eastAsiaTheme="minorEastAsia" w:hAnsiTheme="minorHAnsi"/>
          <w:noProof/>
          <w:lang w:eastAsia="en-CA"/>
        </w:rPr>
      </w:pPr>
      <w:hyperlink w:anchor="_Toc152766293" w:history="1">
        <w:r w:rsidR="00AF76E6" w:rsidRPr="00A47E10">
          <w:rPr>
            <w:rStyle w:val="Hyperlink"/>
            <w:noProof/>
            <w:lang w:val="fr-CA"/>
          </w:rPr>
          <w:t>3.1.1</w:t>
        </w:r>
        <w:r w:rsidR="00AF76E6">
          <w:rPr>
            <w:rFonts w:asciiTheme="minorHAnsi" w:eastAsiaTheme="minorEastAsia" w:hAnsiTheme="minorHAnsi"/>
            <w:noProof/>
            <w:lang w:eastAsia="en-CA"/>
          </w:rPr>
          <w:tab/>
        </w:r>
        <w:r w:rsidR="00AF76E6" w:rsidRPr="00A47E10">
          <w:rPr>
            <w:rStyle w:val="Hyperlink"/>
            <w:noProof/>
            <w:lang w:val="fr-CA"/>
          </w:rPr>
          <w:t>Gestion de la configuration de l’installation</w:t>
        </w:r>
        <w:r w:rsidR="00AF76E6">
          <w:rPr>
            <w:noProof/>
            <w:webHidden/>
          </w:rPr>
          <w:tab/>
        </w:r>
        <w:r w:rsidR="00AF76E6">
          <w:rPr>
            <w:noProof/>
            <w:webHidden/>
          </w:rPr>
          <w:fldChar w:fldCharType="begin"/>
        </w:r>
        <w:r w:rsidR="00AF76E6">
          <w:rPr>
            <w:noProof/>
            <w:webHidden/>
          </w:rPr>
          <w:instrText xml:space="preserve"> PAGEREF _Toc152766293 \h </w:instrText>
        </w:r>
        <w:r w:rsidR="00AF76E6">
          <w:rPr>
            <w:noProof/>
            <w:webHidden/>
          </w:rPr>
        </w:r>
        <w:r w:rsidR="00AF76E6">
          <w:rPr>
            <w:noProof/>
            <w:webHidden/>
          </w:rPr>
          <w:fldChar w:fldCharType="separate"/>
        </w:r>
        <w:r w:rsidR="00AF76E6">
          <w:rPr>
            <w:noProof/>
            <w:webHidden/>
          </w:rPr>
          <w:t>8</w:t>
        </w:r>
        <w:r w:rsidR="00AF76E6">
          <w:rPr>
            <w:noProof/>
            <w:webHidden/>
          </w:rPr>
          <w:fldChar w:fldCharType="end"/>
        </w:r>
      </w:hyperlink>
    </w:p>
    <w:p w14:paraId="112DCBAA" w14:textId="29B1AC63" w:rsidR="00AF76E6" w:rsidRDefault="00CB21A3">
      <w:pPr>
        <w:pStyle w:val="TOC3"/>
        <w:rPr>
          <w:rFonts w:asciiTheme="minorHAnsi" w:eastAsiaTheme="minorEastAsia" w:hAnsiTheme="minorHAnsi"/>
          <w:noProof/>
          <w:lang w:eastAsia="en-CA"/>
        </w:rPr>
      </w:pPr>
      <w:hyperlink w:anchor="_Toc152766294" w:history="1">
        <w:r w:rsidR="00AF76E6" w:rsidRPr="00A47E10">
          <w:rPr>
            <w:rStyle w:val="Hyperlink"/>
            <w:noProof/>
            <w:lang w:val="fr-CA"/>
          </w:rPr>
          <w:t>3.1.2</w:t>
        </w:r>
        <w:r w:rsidR="00AF76E6">
          <w:rPr>
            <w:rFonts w:asciiTheme="minorHAnsi" w:eastAsiaTheme="minorEastAsia" w:hAnsiTheme="minorHAnsi"/>
            <w:noProof/>
            <w:lang w:eastAsia="en-CA"/>
          </w:rPr>
          <w:tab/>
        </w:r>
        <w:r w:rsidR="00AF76E6" w:rsidRPr="00A47E10">
          <w:rPr>
            <w:rStyle w:val="Hyperlink"/>
            <w:noProof/>
            <w:lang w:val="fr-CA"/>
          </w:rPr>
          <w:t>Gestion des sources froides</w:t>
        </w:r>
        <w:r w:rsidR="00AF76E6">
          <w:rPr>
            <w:noProof/>
            <w:webHidden/>
          </w:rPr>
          <w:tab/>
        </w:r>
        <w:r w:rsidR="00AF76E6">
          <w:rPr>
            <w:noProof/>
            <w:webHidden/>
          </w:rPr>
          <w:fldChar w:fldCharType="begin"/>
        </w:r>
        <w:r w:rsidR="00AF76E6">
          <w:rPr>
            <w:noProof/>
            <w:webHidden/>
          </w:rPr>
          <w:instrText xml:space="preserve"> PAGEREF _Toc152766294 \h </w:instrText>
        </w:r>
        <w:r w:rsidR="00AF76E6">
          <w:rPr>
            <w:noProof/>
            <w:webHidden/>
          </w:rPr>
        </w:r>
        <w:r w:rsidR="00AF76E6">
          <w:rPr>
            <w:noProof/>
            <w:webHidden/>
          </w:rPr>
          <w:fldChar w:fldCharType="separate"/>
        </w:r>
        <w:r w:rsidR="00AF76E6">
          <w:rPr>
            <w:noProof/>
            <w:webHidden/>
          </w:rPr>
          <w:t>9</w:t>
        </w:r>
        <w:r w:rsidR="00AF76E6">
          <w:rPr>
            <w:noProof/>
            <w:webHidden/>
          </w:rPr>
          <w:fldChar w:fldCharType="end"/>
        </w:r>
      </w:hyperlink>
    </w:p>
    <w:p w14:paraId="24EAE019" w14:textId="467950F1" w:rsidR="00AF76E6" w:rsidRDefault="00CB21A3">
      <w:pPr>
        <w:pStyle w:val="TOC3"/>
        <w:rPr>
          <w:rFonts w:asciiTheme="minorHAnsi" w:eastAsiaTheme="minorEastAsia" w:hAnsiTheme="minorHAnsi"/>
          <w:noProof/>
          <w:lang w:eastAsia="en-CA"/>
        </w:rPr>
      </w:pPr>
      <w:hyperlink w:anchor="_Toc152766295" w:history="1">
        <w:r w:rsidR="00AF76E6" w:rsidRPr="00A47E10">
          <w:rPr>
            <w:rStyle w:val="Hyperlink"/>
            <w:noProof/>
            <w:lang w:val="fr-CA"/>
          </w:rPr>
          <w:t>3.1.3</w:t>
        </w:r>
        <w:r w:rsidR="00AF76E6">
          <w:rPr>
            <w:rFonts w:asciiTheme="minorHAnsi" w:eastAsiaTheme="minorEastAsia" w:hAnsiTheme="minorHAnsi"/>
            <w:noProof/>
            <w:lang w:eastAsia="en-CA"/>
          </w:rPr>
          <w:tab/>
        </w:r>
        <w:r w:rsidR="00AF76E6" w:rsidRPr="00A47E10">
          <w:rPr>
            <w:rStyle w:val="Hyperlink"/>
            <w:noProof/>
            <w:lang w:val="fr-CA"/>
          </w:rPr>
          <w:t>Contrôle des défis auxquels doivent faire face les opérateurs</w:t>
        </w:r>
        <w:r w:rsidR="00AF76E6">
          <w:rPr>
            <w:noProof/>
            <w:webHidden/>
          </w:rPr>
          <w:tab/>
        </w:r>
        <w:r w:rsidR="00AF76E6">
          <w:rPr>
            <w:noProof/>
            <w:webHidden/>
          </w:rPr>
          <w:fldChar w:fldCharType="begin"/>
        </w:r>
        <w:r w:rsidR="00AF76E6">
          <w:rPr>
            <w:noProof/>
            <w:webHidden/>
          </w:rPr>
          <w:instrText xml:space="preserve"> PAGEREF _Toc152766295 \h </w:instrText>
        </w:r>
        <w:r w:rsidR="00AF76E6">
          <w:rPr>
            <w:noProof/>
            <w:webHidden/>
          </w:rPr>
        </w:r>
        <w:r w:rsidR="00AF76E6">
          <w:rPr>
            <w:noProof/>
            <w:webHidden/>
          </w:rPr>
          <w:fldChar w:fldCharType="separate"/>
        </w:r>
        <w:r w:rsidR="00AF76E6">
          <w:rPr>
            <w:noProof/>
            <w:webHidden/>
          </w:rPr>
          <w:t>9</w:t>
        </w:r>
        <w:r w:rsidR="00AF76E6">
          <w:rPr>
            <w:noProof/>
            <w:webHidden/>
          </w:rPr>
          <w:fldChar w:fldCharType="end"/>
        </w:r>
      </w:hyperlink>
    </w:p>
    <w:p w14:paraId="61A3E06B" w14:textId="6E7347FB" w:rsidR="00AF76E6" w:rsidRDefault="00CB21A3">
      <w:pPr>
        <w:pStyle w:val="TOC3"/>
        <w:rPr>
          <w:rFonts w:asciiTheme="minorHAnsi" w:eastAsiaTheme="minorEastAsia" w:hAnsiTheme="minorHAnsi"/>
          <w:noProof/>
          <w:lang w:eastAsia="en-CA"/>
        </w:rPr>
      </w:pPr>
      <w:hyperlink w:anchor="_Toc152766296" w:history="1">
        <w:r w:rsidR="00AF76E6" w:rsidRPr="00A47E10">
          <w:rPr>
            <w:rStyle w:val="Hyperlink"/>
            <w:noProof/>
            <w:lang w:val="fr-CA"/>
          </w:rPr>
          <w:t>3.1.4</w:t>
        </w:r>
        <w:r w:rsidR="00AF76E6">
          <w:rPr>
            <w:rFonts w:asciiTheme="minorHAnsi" w:eastAsiaTheme="minorEastAsia" w:hAnsiTheme="minorHAnsi"/>
            <w:noProof/>
            <w:lang w:eastAsia="en-CA"/>
          </w:rPr>
          <w:tab/>
        </w:r>
        <w:r w:rsidR="00AF76E6" w:rsidRPr="00A47E10">
          <w:rPr>
            <w:rStyle w:val="Hyperlink"/>
            <w:noProof/>
            <w:lang w:val="fr-CA"/>
          </w:rPr>
          <w:t>Travail par quart</w:t>
        </w:r>
        <w:r w:rsidR="00AF76E6">
          <w:rPr>
            <w:noProof/>
            <w:webHidden/>
          </w:rPr>
          <w:tab/>
        </w:r>
        <w:r w:rsidR="00AF76E6">
          <w:rPr>
            <w:noProof/>
            <w:webHidden/>
          </w:rPr>
          <w:fldChar w:fldCharType="begin"/>
        </w:r>
        <w:r w:rsidR="00AF76E6">
          <w:rPr>
            <w:noProof/>
            <w:webHidden/>
          </w:rPr>
          <w:instrText xml:space="preserve"> PAGEREF _Toc152766296 \h </w:instrText>
        </w:r>
        <w:r w:rsidR="00AF76E6">
          <w:rPr>
            <w:noProof/>
            <w:webHidden/>
          </w:rPr>
        </w:r>
        <w:r w:rsidR="00AF76E6">
          <w:rPr>
            <w:noProof/>
            <w:webHidden/>
          </w:rPr>
          <w:fldChar w:fldCharType="separate"/>
        </w:r>
        <w:r w:rsidR="00AF76E6">
          <w:rPr>
            <w:noProof/>
            <w:webHidden/>
          </w:rPr>
          <w:t>10</w:t>
        </w:r>
        <w:r w:rsidR="00AF76E6">
          <w:rPr>
            <w:noProof/>
            <w:webHidden/>
          </w:rPr>
          <w:fldChar w:fldCharType="end"/>
        </w:r>
      </w:hyperlink>
    </w:p>
    <w:p w14:paraId="66E551B2" w14:textId="44FEBC44" w:rsidR="00AF76E6" w:rsidRDefault="00CB21A3">
      <w:pPr>
        <w:pStyle w:val="TOC3"/>
        <w:rPr>
          <w:rFonts w:asciiTheme="minorHAnsi" w:eastAsiaTheme="minorEastAsia" w:hAnsiTheme="minorHAnsi"/>
          <w:noProof/>
          <w:lang w:eastAsia="en-CA"/>
        </w:rPr>
      </w:pPr>
      <w:hyperlink w:anchor="_Toc152766297" w:history="1">
        <w:r w:rsidR="00AF76E6" w:rsidRPr="00A47E10">
          <w:rPr>
            <w:rStyle w:val="Hyperlink"/>
            <w:noProof/>
            <w:lang w:val="fr-CA"/>
          </w:rPr>
          <w:t>3.1.5</w:t>
        </w:r>
        <w:r w:rsidR="00AF76E6">
          <w:rPr>
            <w:rFonts w:asciiTheme="minorHAnsi" w:eastAsiaTheme="minorEastAsia" w:hAnsiTheme="minorHAnsi"/>
            <w:noProof/>
            <w:lang w:eastAsia="en-CA"/>
          </w:rPr>
          <w:tab/>
        </w:r>
        <w:r w:rsidR="00AF76E6" w:rsidRPr="00A47E10">
          <w:rPr>
            <w:rStyle w:val="Hyperlink"/>
            <w:noProof/>
            <w:lang w:val="fr-CA"/>
          </w:rPr>
          <w:t>Salles de commande des opérations et équipement de contrôle</w:t>
        </w:r>
        <w:r w:rsidR="00AF76E6">
          <w:rPr>
            <w:noProof/>
            <w:webHidden/>
          </w:rPr>
          <w:tab/>
        </w:r>
        <w:r w:rsidR="00AF76E6">
          <w:rPr>
            <w:noProof/>
            <w:webHidden/>
          </w:rPr>
          <w:fldChar w:fldCharType="begin"/>
        </w:r>
        <w:r w:rsidR="00AF76E6">
          <w:rPr>
            <w:noProof/>
            <w:webHidden/>
          </w:rPr>
          <w:instrText xml:space="preserve"> PAGEREF _Toc152766297 \h </w:instrText>
        </w:r>
        <w:r w:rsidR="00AF76E6">
          <w:rPr>
            <w:noProof/>
            <w:webHidden/>
          </w:rPr>
        </w:r>
        <w:r w:rsidR="00AF76E6">
          <w:rPr>
            <w:noProof/>
            <w:webHidden/>
          </w:rPr>
          <w:fldChar w:fldCharType="separate"/>
        </w:r>
        <w:r w:rsidR="00AF76E6">
          <w:rPr>
            <w:noProof/>
            <w:webHidden/>
          </w:rPr>
          <w:t>10</w:t>
        </w:r>
        <w:r w:rsidR="00AF76E6">
          <w:rPr>
            <w:noProof/>
            <w:webHidden/>
          </w:rPr>
          <w:fldChar w:fldCharType="end"/>
        </w:r>
      </w:hyperlink>
    </w:p>
    <w:p w14:paraId="067BF7ED" w14:textId="7C50389A" w:rsidR="00AF76E6" w:rsidRDefault="00CB21A3">
      <w:pPr>
        <w:pStyle w:val="TOC3"/>
        <w:rPr>
          <w:rFonts w:asciiTheme="minorHAnsi" w:eastAsiaTheme="minorEastAsia" w:hAnsiTheme="minorHAnsi"/>
          <w:noProof/>
          <w:lang w:eastAsia="en-CA"/>
        </w:rPr>
      </w:pPr>
      <w:hyperlink w:anchor="_Toc152766298" w:history="1">
        <w:r w:rsidR="00AF76E6" w:rsidRPr="00A47E10">
          <w:rPr>
            <w:rStyle w:val="Hyperlink"/>
            <w:noProof/>
            <w:lang w:val="fr-CA"/>
          </w:rPr>
          <w:t>3.1.6</w:t>
        </w:r>
        <w:r w:rsidR="00AF76E6">
          <w:rPr>
            <w:rFonts w:asciiTheme="minorHAnsi" w:eastAsiaTheme="minorEastAsia" w:hAnsiTheme="minorHAnsi"/>
            <w:noProof/>
            <w:lang w:eastAsia="en-CA"/>
          </w:rPr>
          <w:tab/>
        </w:r>
        <w:r w:rsidR="00AF76E6" w:rsidRPr="00A47E10">
          <w:rPr>
            <w:rStyle w:val="Hyperlink"/>
            <w:noProof/>
            <w:lang w:val="fr-CA"/>
          </w:rPr>
          <w:t>Salles de commande auxiliaires</w:t>
        </w:r>
        <w:r w:rsidR="00AF76E6">
          <w:rPr>
            <w:noProof/>
            <w:webHidden/>
          </w:rPr>
          <w:tab/>
        </w:r>
        <w:r w:rsidR="00AF76E6">
          <w:rPr>
            <w:noProof/>
            <w:webHidden/>
          </w:rPr>
          <w:fldChar w:fldCharType="begin"/>
        </w:r>
        <w:r w:rsidR="00AF76E6">
          <w:rPr>
            <w:noProof/>
            <w:webHidden/>
          </w:rPr>
          <w:instrText xml:space="preserve"> PAGEREF _Toc152766298 \h </w:instrText>
        </w:r>
        <w:r w:rsidR="00AF76E6">
          <w:rPr>
            <w:noProof/>
            <w:webHidden/>
          </w:rPr>
        </w:r>
        <w:r w:rsidR="00AF76E6">
          <w:rPr>
            <w:noProof/>
            <w:webHidden/>
          </w:rPr>
          <w:fldChar w:fldCharType="separate"/>
        </w:r>
        <w:r w:rsidR="00AF76E6">
          <w:rPr>
            <w:noProof/>
            <w:webHidden/>
          </w:rPr>
          <w:t>11</w:t>
        </w:r>
        <w:r w:rsidR="00AF76E6">
          <w:rPr>
            <w:noProof/>
            <w:webHidden/>
          </w:rPr>
          <w:fldChar w:fldCharType="end"/>
        </w:r>
      </w:hyperlink>
    </w:p>
    <w:p w14:paraId="5CE305E7" w14:textId="6D58A75E" w:rsidR="00AF76E6" w:rsidRDefault="00CB21A3">
      <w:pPr>
        <w:pStyle w:val="TOC3"/>
        <w:rPr>
          <w:rFonts w:asciiTheme="minorHAnsi" w:eastAsiaTheme="minorEastAsia" w:hAnsiTheme="minorHAnsi"/>
          <w:noProof/>
          <w:lang w:eastAsia="en-CA"/>
        </w:rPr>
      </w:pPr>
      <w:hyperlink w:anchor="_Toc152766299" w:history="1">
        <w:r w:rsidR="00AF76E6" w:rsidRPr="00A47E10">
          <w:rPr>
            <w:rStyle w:val="Hyperlink"/>
            <w:noProof/>
            <w:lang w:val="fr-CA"/>
          </w:rPr>
          <w:t>3.1.7</w:t>
        </w:r>
        <w:r w:rsidR="00AF76E6">
          <w:rPr>
            <w:rFonts w:asciiTheme="minorHAnsi" w:eastAsiaTheme="minorEastAsia" w:hAnsiTheme="minorHAnsi"/>
            <w:noProof/>
            <w:lang w:eastAsia="en-CA"/>
          </w:rPr>
          <w:tab/>
        </w:r>
        <w:r w:rsidR="00AF76E6" w:rsidRPr="00A47E10">
          <w:rPr>
            <w:rStyle w:val="Hyperlink"/>
            <w:noProof/>
            <w:lang w:val="fr-CA"/>
          </w:rPr>
          <w:t>Surveillance et intervention en cas d’alarme</w:t>
        </w:r>
        <w:r w:rsidR="00AF76E6">
          <w:rPr>
            <w:noProof/>
            <w:webHidden/>
          </w:rPr>
          <w:tab/>
        </w:r>
        <w:r w:rsidR="00AF76E6">
          <w:rPr>
            <w:noProof/>
            <w:webHidden/>
          </w:rPr>
          <w:fldChar w:fldCharType="begin"/>
        </w:r>
        <w:r w:rsidR="00AF76E6">
          <w:rPr>
            <w:noProof/>
            <w:webHidden/>
          </w:rPr>
          <w:instrText xml:space="preserve"> PAGEREF _Toc152766299 \h </w:instrText>
        </w:r>
        <w:r w:rsidR="00AF76E6">
          <w:rPr>
            <w:noProof/>
            <w:webHidden/>
          </w:rPr>
        </w:r>
        <w:r w:rsidR="00AF76E6">
          <w:rPr>
            <w:noProof/>
            <w:webHidden/>
          </w:rPr>
          <w:fldChar w:fldCharType="separate"/>
        </w:r>
        <w:r w:rsidR="00AF76E6">
          <w:rPr>
            <w:noProof/>
            <w:webHidden/>
          </w:rPr>
          <w:t>11</w:t>
        </w:r>
        <w:r w:rsidR="00AF76E6">
          <w:rPr>
            <w:noProof/>
            <w:webHidden/>
          </w:rPr>
          <w:fldChar w:fldCharType="end"/>
        </w:r>
      </w:hyperlink>
    </w:p>
    <w:p w14:paraId="0C6661B6" w14:textId="6D8F9BDB" w:rsidR="00AF76E6" w:rsidRDefault="00CB21A3">
      <w:pPr>
        <w:pStyle w:val="TOC3"/>
        <w:rPr>
          <w:rFonts w:asciiTheme="minorHAnsi" w:eastAsiaTheme="minorEastAsia" w:hAnsiTheme="minorHAnsi"/>
          <w:noProof/>
          <w:lang w:eastAsia="en-CA"/>
        </w:rPr>
      </w:pPr>
      <w:hyperlink w:anchor="_Toc152766300" w:history="1">
        <w:r w:rsidR="00AF76E6" w:rsidRPr="00A47E10">
          <w:rPr>
            <w:rStyle w:val="Hyperlink"/>
            <w:noProof/>
            <w:lang w:val="fr-CA"/>
          </w:rPr>
          <w:t>3.1.8</w:t>
        </w:r>
        <w:r w:rsidR="00AF76E6">
          <w:rPr>
            <w:rFonts w:asciiTheme="minorHAnsi" w:eastAsiaTheme="minorEastAsia" w:hAnsiTheme="minorHAnsi"/>
            <w:noProof/>
            <w:lang w:eastAsia="en-CA"/>
          </w:rPr>
          <w:tab/>
        </w:r>
        <w:r w:rsidR="00AF76E6" w:rsidRPr="00A47E10">
          <w:rPr>
            <w:rStyle w:val="Hyperlink"/>
            <w:noProof/>
            <w:lang w:val="fr-CA"/>
          </w:rPr>
          <w:t>Conditions matérielles et tenue des lieux</w:t>
        </w:r>
        <w:r w:rsidR="00AF76E6">
          <w:rPr>
            <w:noProof/>
            <w:webHidden/>
          </w:rPr>
          <w:tab/>
        </w:r>
        <w:r w:rsidR="00AF76E6">
          <w:rPr>
            <w:noProof/>
            <w:webHidden/>
          </w:rPr>
          <w:fldChar w:fldCharType="begin"/>
        </w:r>
        <w:r w:rsidR="00AF76E6">
          <w:rPr>
            <w:noProof/>
            <w:webHidden/>
          </w:rPr>
          <w:instrText xml:space="preserve"> PAGEREF _Toc152766300 \h </w:instrText>
        </w:r>
        <w:r w:rsidR="00AF76E6">
          <w:rPr>
            <w:noProof/>
            <w:webHidden/>
          </w:rPr>
        </w:r>
        <w:r w:rsidR="00AF76E6">
          <w:rPr>
            <w:noProof/>
            <w:webHidden/>
          </w:rPr>
          <w:fldChar w:fldCharType="separate"/>
        </w:r>
        <w:r w:rsidR="00AF76E6">
          <w:rPr>
            <w:noProof/>
            <w:webHidden/>
          </w:rPr>
          <w:t>12</w:t>
        </w:r>
        <w:r w:rsidR="00AF76E6">
          <w:rPr>
            <w:noProof/>
            <w:webHidden/>
          </w:rPr>
          <w:fldChar w:fldCharType="end"/>
        </w:r>
      </w:hyperlink>
    </w:p>
    <w:p w14:paraId="4EBF4115" w14:textId="30E73A65" w:rsidR="00AF76E6" w:rsidRDefault="00CB21A3">
      <w:pPr>
        <w:pStyle w:val="TOC3"/>
        <w:rPr>
          <w:rFonts w:asciiTheme="minorHAnsi" w:eastAsiaTheme="minorEastAsia" w:hAnsiTheme="minorHAnsi"/>
          <w:noProof/>
          <w:lang w:eastAsia="en-CA"/>
        </w:rPr>
      </w:pPr>
      <w:hyperlink w:anchor="_Toc152766301" w:history="1">
        <w:r w:rsidR="00AF76E6" w:rsidRPr="00A47E10">
          <w:rPr>
            <w:rStyle w:val="Hyperlink"/>
            <w:noProof/>
          </w:rPr>
          <w:t>3.1.9</w:t>
        </w:r>
        <w:r w:rsidR="00AF76E6">
          <w:rPr>
            <w:rFonts w:asciiTheme="minorHAnsi" w:eastAsiaTheme="minorEastAsia" w:hAnsiTheme="minorHAnsi"/>
            <w:noProof/>
            <w:lang w:eastAsia="en-CA"/>
          </w:rPr>
          <w:tab/>
        </w:r>
        <w:r w:rsidR="00AF76E6" w:rsidRPr="00A47E10">
          <w:rPr>
            <w:rStyle w:val="Hyperlink"/>
            <w:noProof/>
          </w:rPr>
          <w:t>Contrôle chimique</w:t>
        </w:r>
        <w:r w:rsidR="00AF76E6">
          <w:rPr>
            <w:noProof/>
            <w:webHidden/>
          </w:rPr>
          <w:tab/>
        </w:r>
        <w:r w:rsidR="00AF76E6">
          <w:rPr>
            <w:noProof/>
            <w:webHidden/>
          </w:rPr>
          <w:fldChar w:fldCharType="begin"/>
        </w:r>
        <w:r w:rsidR="00AF76E6">
          <w:rPr>
            <w:noProof/>
            <w:webHidden/>
          </w:rPr>
          <w:instrText xml:space="preserve"> PAGEREF _Toc152766301 \h </w:instrText>
        </w:r>
        <w:r w:rsidR="00AF76E6">
          <w:rPr>
            <w:noProof/>
            <w:webHidden/>
          </w:rPr>
        </w:r>
        <w:r w:rsidR="00AF76E6">
          <w:rPr>
            <w:noProof/>
            <w:webHidden/>
          </w:rPr>
          <w:fldChar w:fldCharType="separate"/>
        </w:r>
        <w:r w:rsidR="00AF76E6">
          <w:rPr>
            <w:noProof/>
            <w:webHidden/>
          </w:rPr>
          <w:t>13</w:t>
        </w:r>
        <w:r w:rsidR="00AF76E6">
          <w:rPr>
            <w:noProof/>
            <w:webHidden/>
          </w:rPr>
          <w:fldChar w:fldCharType="end"/>
        </w:r>
      </w:hyperlink>
    </w:p>
    <w:p w14:paraId="1A30A4CA" w14:textId="6D53C8C5" w:rsidR="00AF76E6" w:rsidRDefault="00CB21A3">
      <w:pPr>
        <w:pStyle w:val="TOC2"/>
        <w:rPr>
          <w:rFonts w:asciiTheme="minorHAnsi" w:eastAsiaTheme="minorEastAsia" w:hAnsiTheme="minorHAnsi"/>
          <w:noProof/>
          <w:lang w:eastAsia="en-CA"/>
        </w:rPr>
      </w:pPr>
      <w:hyperlink w:anchor="_Toc152766302" w:history="1">
        <w:r w:rsidR="00AF76E6" w:rsidRPr="00A47E10">
          <w:rPr>
            <w:rStyle w:val="Hyperlink"/>
            <w:noProof/>
            <w:lang w:val="fr-CA"/>
          </w:rPr>
          <w:t>3.2</w:t>
        </w:r>
        <w:r w:rsidR="00AF76E6">
          <w:rPr>
            <w:rFonts w:asciiTheme="minorHAnsi" w:eastAsiaTheme="minorEastAsia" w:hAnsiTheme="minorHAnsi"/>
            <w:noProof/>
            <w:lang w:eastAsia="en-CA"/>
          </w:rPr>
          <w:tab/>
        </w:r>
        <w:r w:rsidR="00AF76E6" w:rsidRPr="00A47E10">
          <w:rPr>
            <w:rStyle w:val="Hyperlink"/>
            <w:noProof/>
            <w:lang w:val="fr-CA"/>
          </w:rPr>
          <w:t>Performance humaine en matière d’exploitation</w:t>
        </w:r>
        <w:r w:rsidR="00AF76E6">
          <w:rPr>
            <w:noProof/>
            <w:webHidden/>
          </w:rPr>
          <w:tab/>
        </w:r>
        <w:r w:rsidR="00AF76E6">
          <w:rPr>
            <w:noProof/>
            <w:webHidden/>
          </w:rPr>
          <w:fldChar w:fldCharType="begin"/>
        </w:r>
        <w:r w:rsidR="00AF76E6">
          <w:rPr>
            <w:noProof/>
            <w:webHidden/>
          </w:rPr>
          <w:instrText xml:space="preserve"> PAGEREF _Toc152766302 \h </w:instrText>
        </w:r>
        <w:r w:rsidR="00AF76E6">
          <w:rPr>
            <w:noProof/>
            <w:webHidden/>
          </w:rPr>
        </w:r>
        <w:r w:rsidR="00AF76E6">
          <w:rPr>
            <w:noProof/>
            <w:webHidden/>
          </w:rPr>
          <w:fldChar w:fldCharType="separate"/>
        </w:r>
        <w:r w:rsidR="00AF76E6">
          <w:rPr>
            <w:noProof/>
            <w:webHidden/>
          </w:rPr>
          <w:t>13</w:t>
        </w:r>
        <w:r w:rsidR="00AF76E6">
          <w:rPr>
            <w:noProof/>
            <w:webHidden/>
          </w:rPr>
          <w:fldChar w:fldCharType="end"/>
        </w:r>
      </w:hyperlink>
    </w:p>
    <w:p w14:paraId="572E8AE9" w14:textId="4315C1E0" w:rsidR="00AF76E6" w:rsidRDefault="00CB21A3">
      <w:pPr>
        <w:pStyle w:val="TOC3"/>
        <w:rPr>
          <w:rFonts w:asciiTheme="minorHAnsi" w:eastAsiaTheme="minorEastAsia" w:hAnsiTheme="minorHAnsi"/>
          <w:noProof/>
          <w:lang w:eastAsia="en-CA"/>
        </w:rPr>
      </w:pPr>
      <w:hyperlink w:anchor="_Toc152766303" w:history="1">
        <w:r w:rsidR="00AF76E6" w:rsidRPr="00A47E10">
          <w:rPr>
            <w:rStyle w:val="Hyperlink"/>
            <w:noProof/>
            <w:lang w:val="fr-CA"/>
          </w:rPr>
          <w:t>3.2.1</w:t>
        </w:r>
        <w:r w:rsidR="00AF76E6">
          <w:rPr>
            <w:rFonts w:asciiTheme="minorHAnsi" w:eastAsiaTheme="minorEastAsia" w:hAnsiTheme="minorHAnsi"/>
            <w:noProof/>
            <w:lang w:eastAsia="en-CA"/>
          </w:rPr>
          <w:tab/>
        </w:r>
        <w:r w:rsidR="00AF76E6" w:rsidRPr="00A47E10">
          <w:rPr>
            <w:rStyle w:val="Hyperlink"/>
            <w:noProof/>
            <w:lang w:val="fr-CA"/>
          </w:rPr>
          <w:t>Communications</w:t>
        </w:r>
        <w:r w:rsidR="00AF76E6">
          <w:rPr>
            <w:noProof/>
            <w:webHidden/>
          </w:rPr>
          <w:tab/>
        </w:r>
        <w:r w:rsidR="00AF76E6">
          <w:rPr>
            <w:noProof/>
            <w:webHidden/>
          </w:rPr>
          <w:fldChar w:fldCharType="begin"/>
        </w:r>
        <w:r w:rsidR="00AF76E6">
          <w:rPr>
            <w:noProof/>
            <w:webHidden/>
          </w:rPr>
          <w:instrText xml:space="preserve"> PAGEREF _Toc152766303 \h </w:instrText>
        </w:r>
        <w:r w:rsidR="00AF76E6">
          <w:rPr>
            <w:noProof/>
            <w:webHidden/>
          </w:rPr>
        </w:r>
        <w:r w:rsidR="00AF76E6">
          <w:rPr>
            <w:noProof/>
            <w:webHidden/>
          </w:rPr>
          <w:fldChar w:fldCharType="separate"/>
        </w:r>
        <w:r w:rsidR="00AF76E6">
          <w:rPr>
            <w:noProof/>
            <w:webHidden/>
          </w:rPr>
          <w:t>13</w:t>
        </w:r>
        <w:r w:rsidR="00AF76E6">
          <w:rPr>
            <w:noProof/>
            <w:webHidden/>
          </w:rPr>
          <w:fldChar w:fldCharType="end"/>
        </w:r>
      </w:hyperlink>
    </w:p>
    <w:p w14:paraId="2F93E8F5" w14:textId="395F245F" w:rsidR="00AF76E6" w:rsidRDefault="00CB21A3">
      <w:pPr>
        <w:pStyle w:val="TOC3"/>
        <w:rPr>
          <w:rFonts w:asciiTheme="minorHAnsi" w:eastAsiaTheme="minorEastAsia" w:hAnsiTheme="minorHAnsi"/>
          <w:noProof/>
          <w:lang w:eastAsia="en-CA"/>
        </w:rPr>
      </w:pPr>
      <w:hyperlink w:anchor="_Toc152766304" w:history="1">
        <w:r w:rsidR="00AF76E6" w:rsidRPr="00A47E10">
          <w:rPr>
            <w:rStyle w:val="Hyperlink"/>
            <w:noProof/>
            <w:lang w:val="fr-CA"/>
          </w:rPr>
          <w:t>3.2.2</w:t>
        </w:r>
        <w:r w:rsidR="00AF76E6">
          <w:rPr>
            <w:rFonts w:asciiTheme="minorHAnsi" w:eastAsiaTheme="minorEastAsia" w:hAnsiTheme="minorHAnsi"/>
            <w:noProof/>
            <w:lang w:eastAsia="en-CA"/>
          </w:rPr>
          <w:tab/>
        </w:r>
        <w:r w:rsidR="00AF76E6" w:rsidRPr="00A47E10">
          <w:rPr>
            <w:rStyle w:val="Hyperlink"/>
            <w:noProof/>
            <w:lang w:val="fr-CA"/>
          </w:rPr>
          <w:t>Registres de la salle de commande</w:t>
        </w:r>
        <w:r w:rsidR="00AF76E6">
          <w:rPr>
            <w:noProof/>
            <w:webHidden/>
          </w:rPr>
          <w:tab/>
        </w:r>
        <w:r w:rsidR="00AF76E6">
          <w:rPr>
            <w:noProof/>
            <w:webHidden/>
          </w:rPr>
          <w:fldChar w:fldCharType="begin"/>
        </w:r>
        <w:r w:rsidR="00AF76E6">
          <w:rPr>
            <w:noProof/>
            <w:webHidden/>
          </w:rPr>
          <w:instrText xml:space="preserve"> PAGEREF _Toc152766304 \h </w:instrText>
        </w:r>
        <w:r w:rsidR="00AF76E6">
          <w:rPr>
            <w:noProof/>
            <w:webHidden/>
          </w:rPr>
        </w:r>
        <w:r w:rsidR="00AF76E6">
          <w:rPr>
            <w:noProof/>
            <w:webHidden/>
          </w:rPr>
          <w:fldChar w:fldCharType="separate"/>
        </w:r>
        <w:r w:rsidR="00AF76E6">
          <w:rPr>
            <w:noProof/>
            <w:webHidden/>
          </w:rPr>
          <w:t>13</w:t>
        </w:r>
        <w:r w:rsidR="00AF76E6">
          <w:rPr>
            <w:noProof/>
            <w:webHidden/>
          </w:rPr>
          <w:fldChar w:fldCharType="end"/>
        </w:r>
      </w:hyperlink>
    </w:p>
    <w:p w14:paraId="585CD073" w14:textId="0E98510C" w:rsidR="00AF76E6" w:rsidRDefault="00CB21A3">
      <w:pPr>
        <w:pStyle w:val="TOC3"/>
        <w:rPr>
          <w:rFonts w:asciiTheme="minorHAnsi" w:eastAsiaTheme="minorEastAsia" w:hAnsiTheme="minorHAnsi"/>
          <w:noProof/>
          <w:lang w:eastAsia="en-CA"/>
        </w:rPr>
      </w:pPr>
      <w:hyperlink w:anchor="_Toc152766305" w:history="1">
        <w:r w:rsidR="00AF76E6" w:rsidRPr="00A47E10">
          <w:rPr>
            <w:rStyle w:val="Hyperlink"/>
            <w:noProof/>
            <w:lang w:val="fr-CA"/>
          </w:rPr>
          <w:t>3.2.3</w:t>
        </w:r>
        <w:r w:rsidR="00AF76E6">
          <w:rPr>
            <w:rFonts w:asciiTheme="minorHAnsi" w:eastAsiaTheme="minorEastAsia" w:hAnsiTheme="minorHAnsi"/>
            <w:noProof/>
            <w:lang w:eastAsia="en-CA"/>
          </w:rPr>
          <w:tab/>
        </w:r>
        <w:r w:rsidR="00AF76E6" w:rsidRPr="00A47E10">
          <w:rPr>
            <w:rStyle w:val="Hyperlink"/>
            <w:noProof/>
            <w:lang w:val="fr-CA"/>
          </w:rPr>
          <w:t>Changement de quart de travail et comptes rendus</w:t>
        </w:r>
        <w:r w:rsidR="00AF76E6">
          <w:rPr>
            <w:noProof/>
            <w:webHidden/>
          </w:rPr>
          <w:tab/>
        </w:r>
        <w:r w:rsidR="00AF76E6">
          <w:rPr>
            <w:noProof/>
            <w:webHidden/>
          </w:rPr>
          <w:fldChar w:fldCharType="begin"/>
        </w:r>
        <w:r w:rsidR="00AF76E6">
          <w:rPr>
            <w:noProof/>
            <w:webHidden/>
          </w:rPr>
          <w:instrText xml:space="preserve"> PAGEREF _Toc152766305 \h </w:instrText>
        </w:r>
        <w:r w:rsidR="00AF76E6">
          <w:rPr>
            <w:noProof/>
            <w:webHidden/>
          </w:rPr>
        </w:r>
        <w:r w:rsidR="00AF76E6">
          <w:rPr>
            <w:noProof/>
            <w:webHidden/>
          </w:rPr>
          <w:fldChar w:fldCharType="separate"/>
        </w:r>
        <w:r w:rsidR="00AF76E6">
          <w:rPr>
            <w:noProof/>
            <w:webHidden/>
          </w:rPr>
          <w:t>14</w:t>
        </w:r>
        <w:r w:rsidR="00AF76E6">
          <w:rPr>
            <w:noProof/>
            <w:webHidden/>
          </w:rPr>
          <w:fldChar w:fldCharType="end"/>
        </w:r>
      </w:hyperlink>
    </w:p>
    <w:p w14:paraId="7BB5B69F" w14:textId="32AE1171" w:rsidR="00AF76E6" w:rsidRDefault="00CB21A3">
      <w:pPr>
        <w:pStyle w:val="TOC3"/>
        <w:rPr>
          <w:rFonts w:asciiTheme="minorHAnsi" w:eastAsiaTheme="minorEastAsia" w:hAnsiTheme="minorHAnsi"/>
          <w:noProof/>
          <w:lang w:eastAsia="en-CA"/>
        </w:rPr>
      </w:pPr>
      <w:hyperlink w:anchor="_Toc152766306" w:history="1">
        <w:r w:rsidR="00AF76E6" w:rsidRPr="00A47E10">
          <w:rPr>
            <w:rStyle w:val="Hyperlink"/>
            <w:noProof/>
            <w:lang w:val="fr-CA"/>
          </w:rPr>
          <w:t>3.2.4</w:t>
        </w:r>
        <w:r w:rsidR="00AF76E6">
          <w:rPr>
            <w:rFonts w:asciiTheme="minorHAnsi" w:eastAsiaTheme="minorEastAsia" w:hAnsiTheme="minorHAnsi"/>
            <w:noProof/>
            <w:lang w:eastAsia="en-CA"/>
          </w:rPr>
          <w:tab/>
        </w:r>
        <w:r w:rsidR="00AF76E6" w:rsidRPr="00A47E10">
          <w:rPr>
            <w:rStyle w:val="Hyperlink"/>
            <w:noProof/>
            <w:lang w:val="fr-CA"/>
          </w:rPr>
          <w:t>Accès à la salle de commande</w:t>
        </w:r>
        <w:r w:rsidR="00AF76E6">
          <w:rPr>
            <w:noProof/>
            <w:webHidden/>
          </w:rPr>
          <w:tab/>
        </w:r>
        <w:r w:rsidR="00AF76E6">
          <w:rPr>
            <w:noProof/>
            <w:webHidden/>
          </w:rPr>
          <w:fldChar w:fldCharType="begin"/>
        </w:r>
        <w:r w:rsidR="00AF76E6">
          <w:rPr>
            <w:noProof/>
            <w:webHidden/>
          </w:rPr>
          <w:instrText xml:space="preserve"> PAGEREF _Toc152766306 \h </w:instrText>
        </w:r>
        <w:r w:rsidR="00AF76E6">
          <w:rPr>
            <w:noProof/>
            <w:webHidden/>
          </w:rPr>
        </w:r>
        <w:r w:rsidR="00AF76E6">
          <w:rPr>
            <w:noProof/>
            <w:webHidden/>
          </w:rPr>
          <w:fldChar w:fldCharType="separate"/>
        </w:r>
        <w:r w:rsidR="00AF76E6">
          <w:rPr>
            <w:noProof/>
            <w:webHidden/>
          </w:rPr>
          <w:t>15</w:t>
        </w:r>
        <w:r w:rsidR="00AF76E6">
          <w:rPr>
            <w:noProof/>
            <w:webHidden/>
          </w:rPr>
          <w:fldChar w:fldCharType="end"/>
        </w:r>
      </w:hyperlink>
    </w:p>
    <w:p w14:paraId="052BF2B8" w14:textId="054FC263" w:rsidR="00AF76E6" w:rsidRDefault="00CB21A3">
      <w:pPr>
        <w:pStyle w:val="TOC3"/>
        <w:rPr>
          <w:rFonts w:asciiTheme="minorHAnsi" w:eastAsiaTheme="minorEastAsia" w:hAnsiTheme="minorHAnsi"/>
          <w:noProof/>
          <w:lang w:eastAsia="en-CA"/>
        </w:rPr>
      </w:pPr>
      <w:hyperlink w:anchor="_Toc152766307" w:history="1">
        <w:r w:rsidR="00AF76E6" w:rsidRPr="00A47E10">
          <w:rPr>
            <w:rStyle w:val="Hyperlink"/>
            <w:noProof/>
            <w:lang w:val="fr-CA"/>
          </w:rPr>
          <w:t>3.2.5</w:t>
        </w:r>
        <w:r w:rsidR="00AF76E6">
          <w:rPr>
            <w:rFonts w:asciiTheme="minorHAnsi" w:eastAsiaTheme="minorEastAsia" w:hAnsiTheme="minorHAnsi"/>
            <w:noProof/>
            <w:lang w:eastAsia="en-CA"/>
          </w:rPr>
          <w:tab/>
        </w:r>
        <w:r w:rsidR="00AF76E6" w:rsidRPr="00A47E10">
          <w:rPr>
            <w:rStyle w:val="Hyperlink"/>
            <w:noProof/>
            <w:lang w:val="fr-CA"/>
          </w:rPr>
          <w:t>Outils de performance humaine pour l’exploitation</w:t>
        </w:r>
        <w:r w:rsidR="00AF76E6">
          <w:rPr>
            <w:noProof/>
            <w:webHidden/>
          </w:rPr>
          <w:tab/>
        </w:r>
        <w:r w:rsidR="00AF76E6">
          <w:rPr>
            <w:noProof/>
            <w:webHidden/>
          </w:rPr>
          <w:fldChar w:fldCharType="begin"/>
        </w:r>
        <w:r w:rsidR="00AF76E6">
          <w:rPr>
            <w:noProof/>
            <w:webHidden/>
          </w:rPr>
          <w:instrText xml:space="preserve"> PAGEREF _Toc152766307 \h </w:instrText>
        </w:r>
        <w:r w:rsidR="00AF76E6">
          <w:rPr>
            <w:noProof/>
            <w:webHidden/>
          </w:rPr>
        </w:r>
        <w:r w:rsidR="00AF76E6">
          <w:rPr>
            <w:noProof/>
            <w:webHidden/>
          </w:rPr>
          <w:fldChar w:fldCharType="separate"/>
        </w:r>
        <w:r w:rsidR="00AF76E6">
          <w:rPr>
            <w:noProof/>
            <w:webHidden/>
          </w:rPr>
          <w:t>15</w:t>
        </w:r>
        <w:r w:rsidR="00AF76E6">
          <w:rPr>
            <w:noProof/>
            <w:webHidden/>
          </w:rPr>
          <w:fldChar w:fldCharType="end"/>
        </w:r>
      </w:hyperlink>
    </w:p>
    <w:p w14:paraId="020B2130" w14:textId="3C54380E" w:rsidR="00AF76E6" w:rsidRDefault="00CB21A3">
      <w:pPr>
        <w:pStyle w:val="TOC3"/>
        <w:rPr>
          <w:rFonts w:asciiTheme="minorHAnsi" w:eastAsiaTheme="minorEastAsia" w:hAnsiTheme="minorHAnsi"/>
          <w:noProof/>
          <w:lang w:eastAsia="en-CA"/>
        </w:rPr>
      </w:pPr>
      <w:hyperlink w:anchor="_Toc152766308" w:history="1">
        <w:r w:rsidR="00AF76E6" w:rsidRPr="00A47E10">
          <w:rPr>
            <w:rStyle w:val="Hyperlink"/>
            <w:noProof/>
            <w:lang w:val="fr-CA"/>
          </w:rPr>
          <w:t>3.2.6</w:t>
        </w:r>
        <w:r w:rsidR="00AF76E6">
          <w:rPr>
            <w:rFonts w:asciiTheme="minorHAnsi" w:eastAsiaTheme="minorEastAsia" w:hAnsiTheme="minorHAnsi"/>
            <w:noProof/>
            <w:lang w:eastAsia="en-CA"/>
          </w:rPr>
          <w:tab/>
        </w:r>
        <w:r w:rsidR="00AF76E6" w:rsidRPr="00A47E10">
          <w:rPr>
            <w:rStyle w:val="Hyperlink"/>
            <w:noProof/>
            <w:lang w:val="fr-CA"/>
          </w:rPr>
          <w:t>Exécution d’activités susceptibles d’avoir une incidence sur l’exploitation</w:t>
        </w:r>
        <w:r w:rsidR="00AF76E6">
          <w:rPr>
            <w:noProof/>
            <w:webHidden/>
          </w:rPr>
          <w:tab/>
        </w:r>
        <w:r w:rsidR="00AF76E6">
          <w:rPr>
            <w:noProof/>
            <w:webHidden/>
          </w:rPr>
          <w:fldChar w:fldCharType="begin"/>
        </w:r>
        <w:r w:rsidR="00AF76E6">
          <w:rPr>
            <w:noProof/>
            <w:webHidden/>
          </w:rPr>
          <w:instrText xml:space="preserve"> PAGEREF _Toc152766308 \h </w:instrText>
        </w:r>
        <w:r w:rsidR="00AF76E6">
          <w:rPr>
            <w:noProof/>
            <w:webHidden/>
          </w:rPr>
        </w:r>
        <w:r w:rsidR="00AF76E6">
          <w:rPr>
            <w:noProof/>
            <w:webHidden/>
          </w:rPr>
          <w:fldChar w:fldCharType="separate"/>
        </w:r>
        <w:r w:rsidR="00AF76E6">
          <w:rPr>
            <w:noProof/>
            <w:webHidden/>
          </w:rPr>
          <w:t>15</w:t>
        </w:r>
        <w:r w:rsidR="00AF76E6">
          <w:rPr>
            <w:noProof/>
            <w:webHidden/>
          </w:rPr>
          <w:fldChar w:fldCharType="end"/>
        </w:r>
      </w:hyperlink>
    </w:p>
    <w:p w14:paraId="0004E597" w14:textId="6A912929" w:rsidR="00AF76E6" w:rsidRDefault="00CB21A3">
      <w:pPr>
        <w:pStyle w:val="TOC2"/>
        <w:rPr>
          <w:rFonts w:asciiTheme="minorHAnsi" w:eastAsiaTheme="minorEastAsia" w:hAnsiTheme="minorHAnsi"/>
          <w:noProof/>
          <w:lang w:eastAsia="en-CA"/>
        </w:rPr>
      </w:pPr>
      <w:hyperlink w:anchor="_Toc152766309" w:history="1">
        <w:r w:rsidR="00AF76E6" w:rsidRPr="00A47E10">
          <w:rPr>
            <w:rStyle w:val="Hyperlink"/>
            <w:noProof/>
            <w:lang w:val="fr-CA"/>
          </w:rPr>
          <w:t>3.3</w:t>
        </w:r>
        <w:r w:rsidR="00AF76E6">
          <w:rPr>
            <w:rFonts w:asciiTheme="minorHAnsi" w:eastAsiaTheme="minorEastAsia" w:hAnsiTheme="minorHAnsi"/>
            <w:noProof/>
            <w:lang w:eastAsia="en-CA"/>
          </w:rPr>
          <w:tab/>
        </w:r>
        <w:r w:rsidR="00AF76E6" w:rsidRPr="00A47E10">
          <w:rPr>
            <w:rStyle w:val="Hyperlink"/>
            <w:noProof/>
            <w:lang w:val="fr-CA"/>
          </w:rPr>
          <w:t>Essais et surveillance</w:t>
        </w:r>
        <w:r w:rsidR="00AF76E6">
          <w:rPr>
            <w:noProof/>
            <w:webHidden/>
          </w:rPr>
          <w:tab/>
        </w:r>
        <w:r w:rsidR="00AF76E6">
          <w:rPr>
            <w:noProof/>
            <w:webHidden/>
          </w:rPr>
          <w:fldChar w:fldCharType="begin"/>
        </w:r>
        <w:r w:rsidR="00AF76E6">
          <w:rPr>
            <w:noProof/>
            <w:webHidden/>
          </w:rPr>
          <w:instrText xml:space="preserve"> PAGEREF _Toc152766309 \h </w:instrText>
        </w:r>
        <w:r w:rsidR="00AF76E6">
          <w:rPr>
            <w:noProof/>
            <w:webHidden/>
          </w:rPr>
        </w:r>
        <w:r w:rsidR="00AF76E6">
          <w:rPr>
            <w:noProof/>
            <w:webHidden/>
          </w:rPr>
          <w:fldChar w:fldCharType="separate"/>
        </w:r>
        <w:r w:rsidR="00AF76E6">
          <w:rPr>
            <w:noProof/>
            <w:webHidden/>
          </w:rPr>
          <w:t>16</w:t>
        </w:r>
        <w:r w:rsidR="00AF76E6">
          <w:rPr>
            <w:noProof/>
            <w:webHidden/>
          </w:rPr>
          <w:fldChar w:fldCharType="end"/>
        </w:r>
      </w:hyperlink>
    </w:p>
    <w:p w14:paraId="56E87958" w14:textId="760EA06E" w:rsidR="00AF76E6" w:rsidRDefault="00CB21A3">
      <w:pPr>
        <w:pStyle w:val="TOC3"/>
        <w:rPr>
          <w:rFonts w:asciiTheme="minorHAnsi" w:eastAsiaTheme="minorEastAsia" w:hAnsiTheme="minorHAnsi"/>
          <w:noProof/>
          <w:lang w:eastAsia="en-CA"/>
        </w:rPr>
      </w:pPr>
      <w:hyperlink w:anchor="_Toc152766310" w:history="1">
        <w:r w:rsidR="00AF76E6" w:rsidRPr="00A47E10">
          <w:rPr>
            <w:rStyle w:val="Hyperlink"/>
            <w:noProof/>
            <w:lang w:val="fr-CA"/>
          </w:rPr>
          <w:t>3.3.1</w:t>
        </w:r>
        <w:r w:rsidR="00AF76E6">
          <w:rPr>
            <w:rFonts w:asciiTheme="minorHAnsi" w:eastAsiaTheme="minorEastAsia" w:hAnsiTheme="minorHAnsi"/>
            <w:noProof/>
            <w:lang w:eastAsia="en-CA"/>
          </w:rPr>
          <w:tab/>
        </w:r>
        <w:r w:rsidR="00AF76E6" w:rsidRPr="00A47E10">
          <w:rPr>
            <w:rStyle w:val="Hyperlink"/>
            <w:noProof/>
            <w:lang w:val="fr-CA"/>
          </w:rPr>
          <w:t>Rondes de vérification</w:t>
        </w:r>
        <w:r w:rsidR="00AF76E6">
          <w:rPr>
            <w:noProof/>
            <w:webHidden/>
          </w:rPr>
          <w:tab/>
        </w:r>
        <w:r w:rsidR="00AF76E6">
          <w:rPr>
            <w:noProof/>
            <w:webHidden/>
          </w:rPr>
          <w:fldChar w:fldCharType="begin"/>
        </w:r>
        <w:r w:rsidR="00AF76E6">
          <w:rPr>
            <w:noProof/>
            <w:webHidden/>
          </w:rPr>
          <w:instrText xml:space="preserve"> PAGEREF _Toc152766310 \h </w:instrText>
        </w:r>
        <w:r w:rsidR="00AF76E6">
          <w:rPr>
            <w:noProof/>
            <w:webHidden/>
          </w:rPr>
        </w:r>
        <w:r w:rsidR="00AF76E6">
          <w:rPr>
            <w:noProof/>
            <w:webHidden/>
          </w:rPr>
          <w:fldChar w:fldCharType="separate"/>
        </w:r>
        <w:r w:rsidR="00AF76E6">
          <w:rPr>
            <w:noProof/>
            <w:webHidden/>
          </w:rPr>
          <w:t>16</w:t>
        </w:r>
        <w:r w:rsidR="00AF76E6">
          <w:rPr>
            <w:noProof/>
            <w:webHidden/>
          </w:rPr>
          <w:fldChar w:fldCharType="end"/>
        </w:r>
      </w:hyperlink>
    </w:p>
    <w:p w14:paraId="2F840B3E" w14:textId="38BB137B" w:rsidR="00AF76E6" w:rsidRDefault="00CB21A3">
      <w:pPr>
        <w:pStyle w:val="TOC3"/>
        <w:rPr>
          <w:rFonts w:asciiTheme="minorHAnsi" w:eastAsiaTheme="minorEastAsia" w:hAnsiTheme="minorHAnsi"/>
          <w:noProof/>
          <w:lang w:eastAsia="en-CA"/>
        </w:rPr>
      </w:pPr>
      <w:hyperlink w:anchor="_Toc152766311" w:history="1">
        <w:r w:rsidR="00AF76E6" w:rsidRPr="00A47E10">
          <w:rPr>
            <w:rStyle w:val="Hyperlink"/>
            <w:noProof/>
            <w:lang w:val="fr-CA"/>
          </w:rPr>
          <w:t>3.3.2</w:t>
        </w:r>
        <w:r w:rsidR="00AF76E6">
          <w:rPr>
            <w:rFonts w:asciiTheme="minorHAnsi" w:eastAsiaTheme="minorEastAsia" w:hAnsiTheme="minorHAnsi"/>
            <w:noProof/>
            <w:lang w:eastAsia="en-CA"/>
          </w:rPr>
          <w:tab/>
        </w:r>
        <w:r w:rsidR="00AF76E6" w:rsidRPr="00A47E10">
          <w:rPr>
            <w:rStyle w:val="Hyperlink"/>
            <w:noProof/>
            <w:lang w:val="fr-CA"/>
          </w:rPr>
          <w:t>Programme de mise à l’essai de l’exploitabilité pour les systèmes importants pour la sûreté</w:t>
        </w:r>
        <w:r w:rsidR="00AF76E6">
          <w:rPr>
            <w:noProof/>
            <w:webHidden/>
          </w:rPr>
          <w:tab/>
        </w:r>
        <w:r w:rsidR="00AF76E6">
          <w:rPr>
            <w:noProof/>
            <w:webHidden/>
          </w:rPr>
          <w:fldChar w:fldCharType="begin"/>
        </w:r>
        <w:r w:rsidR="00AF76E6">
          <w:rPr>
            <w:noProof/>
            <w:webHidden/>
          </w:rPr>
          <w:instrText xml:space="preserve"> PAGEREF _Toc152766311 \h </w:instrText>
        </w:r>
        <w:r w:rsidR="00AF76E6">
          <w:rPr>
            <w:noProof/>
            <w:webHidden/>
          </w:rPr>
        </w:r>
        <w:r w:rsidR="00AF76E6">
          <w:rPr>
            <w:noProof/>
            <w:webHidden/>
          </w:rPr>
          <w:fldChar w:fldCharType="separate"/>
        </w:r>
        <w:r w:rsidR="00AF76E6">
          <w:rPr>
            <w:noProof/>
            <w:webHidden/>
          </w:rPr>
          <w:t>18</w:t>
        </w:r>
        <w:r w:rsidR="00AF76E6">
          <w:rPr>
            <w:noProof/>
            <w:webHidden/>
          </w:rPr>
          <w:fldChar w:fldCharType="end"/>
        </w:r>
      </w:hyperlink>
    </w:p>
    <w:p w14:paraId="77B01041" w14:textId="128F8C3F" w:rsidR="00AF76E6" w:rsidRDefault="00CB21A3">
      <w:pPr>
        <w:pStyle w:val="TOC3"/>
        <w:rPr>
          <w:rFonts w:asciiTheme="minorHAnsi" w:eastAsiaTheme="minorEastAsia" w:hAnsiTheme="minorHAnsi"/>
          <w:noProof/>
          <w:lang w:eastAsia="en-CA"/>
        </w:rPr>
      </w:pPr>
      <w:hyperlink w:anchor="_Toc152766312" w:history="1">
        <w:r w:rsidR="00AF76E6" w:rsidRPr="00A47E10">
          <w:rPr>
            <w:rStyle w:val="Hyperlink"/>
            <w:noProof/>
            <w:lang w:val="fr-CA"/>
          </w:rPr>
          <w:t>3.3.3</w:t>
        </w:r>
        <w:r w:rsidR="00AF76E6">
          <w:rPr>
            <w:rFonts w:asciiTheme="minorHAnsi" w:eastAsiaTheme="minorEastAsia" w:hAnsiTheme="minorHAnsi"/>
            <w:noProof/>
            <w:lang w:eastAsia="en-CA"/>
          </w:rPr>
          <w:tab/>
        </w:r>
        <w:r w:rsidR="00AF76E6" w:rsidRPr="00A47E10">
          <w:rPr>
            <w:rStyle w:val="Hyperlink"/>
            <w:noProof/>
            <w:lang w:val="fr-CA"/>
          </w:rPr>
          <w:t>Essais et développements peu fréquents et essentiels sur le plan de la sûreté</w:t>
        </w:r>
        <w:r w:rsidR="00AF76E6">
          <w:rPr>
            <w:noProof/>
            <w:webHidden/>
          </w:rPr>
          <w:tab/>
        </w:r>
        <w:r w:rsidR="00AF76E6">
          <w:rPr>
            <w:noProof/>
            <w:webHidden/>
          </w:rPr>
          <w:fldChar w:fldCharType="begin"/>
        </w:r>
        <w:r w:rsidR="00AF76E6">
          <w:rPr>
            <w:noProof/>
            <w:webHidden/>
          </w:rPr>
          <w:instrText xml:space="preserve"> PAGEREF _Toc152766312 \h </w:instrText>
        </w:r>
        <w:r w:rsidR="00AF76E6">
          <w:rPr>
            <w:noProof/>
            <w:webHidden/>
          </w:rPr>
        </w:r>
        <w:r w:rsidR="00AF76E6">
          <w:rPr>
            <w:noProof/>
            <w:webHidden/>
          </w:rPr>
          <w:fldChar w:fldCharType="separate"/>
        </w:r>
        <w:r w:rsidR="00AF76E6">
          <w:rPr>
            <w:noProof/>
            <w:webHidden/>
          </w:rPr>
          <w:t>18</w:t>
        </w:r>
        <w:r w:rsidR="00AF76E6">
          <w:rPr>
            <w:noProof/>
            <w:webHidden/>
          </w:rPr>
          <w:fldChar w:fldCharType="end"/>
        </w:r>
      </w:hyperlink>
    </w:p>
    <w:p w14:paraId="386C7970" w14:textId="75069184" w:rsidR="00AF76E6" w:rsidRDefault="00CB21A3">
      <w:pPr>
        <w:pStyle w:val="TOC1"/>
        <w:rPr>
          <w:rFonts w:asciiTheme="minorHAnsi" w:eastAsiaTheme="minorEastAsia" w:hAnsiTheme="minorHAnsi"/>
          <w:b w:val="0"/>
          <w:lang w:eastAsia="en-CA"/>
        </w:rPr>
      </w:pPr>
      <w:hyperlink w:anchor="_Toc152766313" w:history="1">
        <w:r w:rsidR="00AF76E6" w:rsidRPr="00A47E10">
          <w:rPr>
            <w:rStyle w:val="Hyperlink"/>
            <w:lang w:val="fr-CA"/>
          </w:rPr>
          <w:t>4.</w:t>
        </w:r>
        <w:r w:rsidR="00AF76E6">
          <w:rPr>
            <w:rFonts w:asciiTheme="minorHAnsi" w:eastAsiaTheme="minorEastAsia" w:hAnsiTheme="minorHAnsi"/>
            <w:b w:val="0"/>
            <w:lang w:eastAsia="en-CA"/>
          </w:rPr>
          <w:tab/>
        </w:r>
        <w:r w:rsidR="00AF76E6" w:rsidRPr="00A47E10">
          <w:rPr>
            <w:rStyle w:val="Hyperlink"/>
            <w:lang w:val="fr-CA"/>
          </w:rPr>
          <w:t>Gestion de la réactivité du cœur et du combustible</w:t>
        </w:r>
        <w:r w:rsidR="00AF76E6">
          <w:rPr>
            <w:webHidden/>
          </w:rPr>
          <w:tab/>
        </w:r>
        <w:r w:rsidR="00AF76E6">
          <w:rPr>
            <w:webHidden/>
          </w:rPr>
          <w:fldChar w:fldCharType="begin"/>
        </w:r>
        <w:r w:rsidR="00AF76E6">
          <w:rPr>
            <w:webHidden/>
          </w:rPr>
          <w:instrText xml:space="preserve"> PAGEREF _Toc152766313 \h </w:instrText>
        </w:r>
        <w:r w:rsidR="00AF76E6">
          <w:rPr>
            <w:webHidden/>
          </w:rPr>
        </w:r>
        <w:r w:rsidR="00AF76E6">
          <w:rPr>
            <w:webHidden/>
          </w:rPr>
          <w:fldChar w:fldCharType="separate"/>
        </w:r>
        <w:r w:rsidR="00AF76E6">
          <w:rPr>
            <w:webHidden/>
          </w:rPr>
          <w:t>19</w:t>
        </w:r>
        <w:r w:rsidR="00AF76E6">
          <w:rPr>
            <w:webHidden/>
          </w:rPr>
          <w:fldChar w:fldCharType="end"/>
        </w:r>
      </w:hyperlink>
    </w:p>
    <w:p w14:paraId="347B7FDA" w14:textId="6BF45158" w:rsidR="00AF76E6" w:rsidRDefault="00CB21A3">
      <w:pPr>
        <w:pStyle w:val="TOC2"/>
        <w:rPr>
          <w:rFonts w:asciiTheme="minorHAnsi" w:eastAsiaTheme="minorEastAsia" w:hAnsiTheme="minorHAnsi"/>
          <w:noProof/>
          <w:lang w:eastAsia="en-CA"/>
        </w:rPr>
      </w:pPr>
      <w:hyperlink w:anchor="_Toc152766314" w:history="1">
        <w:r w:rsidR="00AF76E6" w:rsidRPr="00A47E10">
          <w:rPr>
            <w:rStyle w:val="Hyperlink"/>
            <w:noProof/>
            <w:lang w:val="fr-CA"/>
          </w:rPr>
          <w:t>4.1</w:t>
        </w:r>
        <w:r w:rsidR="00AF76E6">
          <w:rPr>
            <w:rFonts w:asciiTheme="minorHAnsi" w:eastAsiaTheme="minorEastAsia" w:hAnsiTheme="minorHAnsi"/>
            <w:noProof/>
            <w:lang w:eastAsia="en-CA"/>
          </w:rPr>
          <w:tab/>
        </w:r>
        <w:r w:rsidR="00AF76E6" w:rsidRPr="00A47E10">
          <w:rPr>
            <w:rStyle w:val="Hyperlink"/>
            <w:noProof/>
            <w:lang w:val="fr-CA"/>
          </w:rPr>
          <w:t>Gestion de la réactivité du cœur</w:t>
        </w:r>
        <w:r w:rsidR="00AF76E6">
          <w:rPr>
            <w:noProof/>
            <w:webHidden/>
          </w:rPr>
          <w:tab/>
        </w:r>
        <w:r w:rsidR="00AF76E6">
          <w:rPr>
            <w:noProof/>
            <w:webHidden/>
          </w:rPr>
          <w:fldChar w:fldCharType="begin"/>
        </w:r>
        <w:r w:rsidR="00AF76E6">
          <w:rPr>
            <w:noProof/>
            <w:webHidden/>
          </w:rPr>
          <w:instrText xml:space="preserve"> PAGEREF _Toc152766314 \h </w:instrText>
        </w:r>
        <w:r w:rsidR="00AF76E6">
          <w:rPr>
            <w:noProof/>
            <w:webHidden/>
          </w:rPr>
        </w:r>
        <w:r w:rsidR="00AF76E6">
          <w:rPr>
            <w:noProof/>
            <w:webHidden/>
          </w:rPr>
          <w:fldChar w:fldCharType="separate"/>
        </w:r>
        <w:r w:rsidR="00AF76E6">
          <w:rPr>
            <w:noProof/>
            <w:webHidden/>
          </w:rPr>
          <w:t>19</w:t>
        </w:r>
        <w:r w:rsidR="00AF76E6">
          <w:rPr>
            <w:noProof/>
            <w:webHidden/>
          </w:rPr>
          <w:fldChar w:fldCharType="end"/>
        </w:r>
      </w:hyperlink>
    </w:p>
    <w:p w14:paraId="00E49096" w14:textId="137FCBA3" w:rsidR="00AF76E6" w:rsidRDefault="00CB21A3">
      <w:pPr>
        <w:pStyle w:val="TOC2"/>
        <w:rPr>
          <w:rFonts w:asciiTheme="minorHAnsi" w:eastAsiaTheme="minorEastAsia" w:hAnsiTheme="minorHAnsi"/>
          <w:noProof/>
          <w:lang w:eastAsia="en-CA"/>
        </w:rPr>
      </w:pPr>
      <w:hyperlink w:anchor="_Toc152766315" w:history="1">
        <w:r w:rsidR="00AF76E6" w:rsidRPr="00A47E10">
          <w:rPr>
            <w:rStyle w:val="Hyperlink"/>
            <w:noProof/>
            <w:lang w:val="fr-CA"/>
          </w:rPr>
          <w:t>4.2</w:t>
        </w:r>
        <w:r w:rsidR="00AF76E6">
          <w:rPr>
            <w:rFonts w:asciiTheme="minorHAnsi" w:eastAsiaTheme="minorEastAsia" w:hAnsiTheme="minorHAnsi"/>
            <w:noProof/>
            <w:lang w:eastAsia="en-CA"/>
          </w:rPr>
          <w:tab/>
        </w:r>
        <w:r w:rsidR="00AF76E6" w:rsidRPr="00A47E10">
          <w:rPr>
            <w:rStyle w:val="Hyperlink"/>
            <w:noProof/>
            <w:lang w:val="fr-CA"/>
          </w:rPr>
          <w:t>Gestion du combustible</w:t>
        </w:r>
        <w:r w:rsidR="00AF76E6">
          <w:rPr>
            <w:noProof/>
            <w:webHidden/>
          </w:rPr>
          <w:tab/>
        </w:r>
        <w:r w:rsidR="00AF76E6">
          <w:rPr>
            <w:noProof/>
            <w:webHidden/>
          </w:rPr>
          <w:fldChar w:fldCharType="begin"/>
        </w:r>
        <w:r w:rsidR="00AF76E6">
          <w:rPr>
            <w:noProof/>
            <w:webHidden/>
          </w:rPr>
          <w:instrText xml:space="preserve"> PAGEREF _Toc152766315 \h </w:instrText>
        </w:r>
        <w:r w:rsidR="00AF76E6">
          <w:rPr>
            <w:noProof/>
            <w:webHidden/>
          </w:rPr>
        </w:r>
        <w:r w:rsidR="00AF76E6">
          <w:rPr>
            <w:noProof/>
            <w:webHidden/>
          </w:rPr>
          <w:fldChar w:fldCharType="separate"/>
        </w:r>
        <w:r w:rsidR="00AF76E6">
          <w:rPr>
            <w:noProof/>
            <w:webHidden/>
          </w:rPr>
          <w:t>20</w:t>
        </w:r>
        <w:r w:rsidR="00AF76E6">
          <w:rPr>
            <w:noProof/>
            <w:webHidden/>
          </w:rPr>
          <w:fldChar w:fldCharType="end"/>
        </w:r>
      </w:hyperlink>
    </w:p>
    <w:p w14:paraId="5B8B7B6B" w14:textId="74952F8B" w:rsidR="00AF76E6" w:rsidRDefault="00CB21A3">
      <w:pPr>
        <w:pStyle w:val="TOC2"/>
        <w:rPr>
          <w:rFonts w:asciiTheme="minorHAnsi" w:eastAsiaTheme="minorEastAsia" w:hAnsiTheme="minorHAnsi"/>
          <w:noProof/>
          <w:lang w:eastAsia="en-CA"/>
        </w:rPr>
      </w:pPr>
      <w:hyperlink w:anchor="_Toc152766316" w:history="1">
        <w:r w:rsidR="00AF76E6" w:rsidRPr="00A47E10">
          <w:rPr>
            <w:rStyle w:val="Hyperlink"/>
            <w:noProof/>
            <w:lang w:val="fr-CA"/>
          </w:rPr>
          <w:t>4.3</w:t>
        </w:r>
        <w:r w:rsidR="00AF76E6">
          <w:rPr>
            <w:rFonts w:asciiTheme="minorHAnsi" w:eastAsiaTheme="minorEastAsia" w:hAnsiTheme="minorHAnsi"/>
            <w:noProof/>
            <w:lang w:eastAsia="en-CA"/>
          </w:rPr>
          <w:tab/>
        </w:r>
        <w:r w:rsidR="00AF76E6" w:rsidRPr="00A47E10">
          <w:rPr>
            <w:rStyle w:val="Hyperlink"/>
            <w:noProof/>
            <w:lang w:val="fr-CA"/>
          </w:rPr>
          <w:t>Manutention du combustible et des composants du cœur</w:t>
        </w:r>
        <w:r w:rsidR="00AF76E6">
          <w:rPr>
            <w:noProof/>
            <w:webHidden/>
          </w:rPr>
          <w:tab/>
        </w:r>
        <w:r w:rsidR="00AF76E6">
          <w:rPr>
            <w:noProof/>
            <w:webHidden/>
          </w:rPr>
          <w:fldChar w:fldCharType="begin"/>
        </w:r>
        <w:r w:rsidR="00AF76E6">
          <w:rPr>
            <w:noProof/>
            <w:webHidden/>
          </w:rPr>
          <w:instrText xml:space="preserve"> PAGEREF _Toc152766316 \h </w:instrText>
        </w:r>
        <w:r w:rsidR="00AF76E6">
          <w:rPr>
            <w:noProof/>
            <w:webHidden/>
          </w:rPr>
        </w:r>
        <w:r w:rsidR="00AF76E6">
          <w:rPr>
            <w:noProof/>
            <w:webHidden/>
          </w:rPr>
          <w:fldChar w:fldCharType="separate"/>
        </w:r>
        <w:r w:rsidR="00AF76E6">
          <w:rPr>
            <w:noProof/>
            <w:webHidden/>
          </w:rPr>
          <w:t>20</w:t>
        </w:r>
        <w:r w:rsidR="00AF76E6">
          <w:rPr>
            <w:noProof/>
            <w:webHidden/>
          </w:rPr>
          <w:fldChar w:fldCharType="end"/>
        </w:r>
      </w:hyperlink>
    </w:p>
    <w:p w14:paraId="110AA92B" w14:textId="0414CCCF" w:rsidR="00AF76E6" w:rsidRDefault="00CB21A3">
      <w:pPr>
        <w:pStyle w:val="TOC2"/>
        <w:rPr>
          <w:rFonts w:asciiTheme="minorHAnsi" w:eastAsiaTheme="minorEastAsia" w:hAnsiTheme="minorHAnsi"/>
          <w:noProof/>
          <w:lang w:eastAsia="en-CA"/>
        </w:rPr>
      </w:pPr>
      <w:hyperlink w:anchor="_Toc152766317" w:history="1">
        <w:r w:rsidR="00AF76E6" w:rsidRPr="00A47E10">
          <w:rPr>
            <w:rStyle w:val="Hyperlink"/>
            <w:noProof/>
            <w:lang w:val="fr-CA"/>
          </w:rPr>
          <w:t>4.4</w:t>
        </w:r>
        <w:r w:rsidR="00AF76E6">
          <w:rPr>
            <w:rFonts w:asciiTheme="minorHAnsi" w:eastAsiaTheme="minorEastAsia" w:hAnsiTheme="minorHAnsi"/>
            <w:noProof/>
            <w:lang w:eastAsia="en-CA"/>
          </w:rPr>
          <w:tab/>
        </w:r>
        <w:r w:rsidR="00AF76E6" w:rsidRPr="00A47E10">
          <w:rPr>
            <w:rStyle w:val="Hyperlink"/>
            <w:noProof/>
            <w:lang w:val="fr-CA"/>
          </w:rPr>
          <w:t>Intégrité du combustible</w:t>
        </w:r>
        <w:r w:rsidR="00AF76E6">
          <w:rPr>
            <w:noProof/>
            <w:webHidden/>
          </w:rPr>
          <w:tab/>
        </w:r>
        <w:r w:rsidR="00AF76E6">
          <w:rPr>
            <w:noProof/>
            <w:webHidden/>
          </w:rPr>
          <w:fldChar w:fldCharType="begin"/>
        </w:r>
        <w:r w:rsidR="00AF76E6">
          <w:rPr>
            <w:noProof/>
            <w:webHidden/>
          </w:rPr>
          <w:instrText xml:space="preserve"> PAGEREF _Toc152766317 \h </w:instrText>
        </w:r>
        <w:r w:rsidR="00AF76E6">
          <w:rPr>
            <w:noProof/>
            <w:webHidden/>
          </w:rPr>
        </w:r>
        <w:r w:rsidR="00AF76E6">
          <w:rPr>
            <w:noProof/>
            <w:webHidden/>
          </w:rPr>
          <w:fldChar w:fldCharType="separate"/>
        </w:r>
        <w:r w:rsidR="00AF76E6">
          <w:rPr>
            <w:noProof/>
            <w:webHidden/>
          </w:rPr>
          <w:t>21</w:t>
        </w:r>
        <w:r w:rsidR="00AF76E6">
          <w:rPr>
            <w:noProof/>
            <w:webHidden/>
          </w:rPr>
          <w:fldChar w:fldCharType="end"/>
        </w:r>
      </w:hyperlink>
    </w:p>
    <w:p w14:paraId="610887C6" w14:textId="17EACF9F" w:rsidR="00AF76E6" w:rsidRDefault="00CB21A3">
      <w:pPr>
        <w:pStyle w:val="TOC2"/>
        <w:rPr>
          <w:rFonts w:asciiTheme="minorHAnsi" w:eastAsiaTheme="minorEastAsia" w:hAnsiTheme="minorHAnsi"/>
          <w:noProof/>
          <w:lang w:eastAsia="en-CA"/>
        </w:rPr>
      </w:pPr>
      <w:hyperlink w:anchor="_Toc152766318" w:history="1">
        <w:r w:rsidR="00AF76E6" w:rsidRPr="00A47E10">
          <w:rPr>
            <w:rStyle w:val="Hyperlink"/>
            <w:noProof/>
            <w:lang w:val="fr-CA"/>
          </w:rPr>
          <w:t>4.5</w:t>
        </w:r>
        <w:r w:rsidR="00AF76E6">
          <w:rPr>
            <w:rFonts w:asciiTheme="minorHAnsi" w:eastAsiaTheme="minorEastAsia" w:hAnsiTheme="minorHAnsi"/>
            <w:noProof/>
            <w:lang w:eastAsia="en-CA"/>
          </w:rPr>
          <w:tab/>
        </w:r>
        <w:r w:rsidR="00AF76E6" w:rsidRPr="00A47E10">
          <w:rPr>
            <w:rStyle w:val="Hyperlink"/>
            <w:noProof/>
            <w:lang w:val="fr-CA"/>
          </w:rPr>
          <w:t>Gestion de la criticité hors cœur pour les combustibles enrichis</w:t>
        </w:r>
        <w:r w:rsidR="00AF76E6">
          <w:rPr>
            <w:noProof/>
            <w:webHidden/>
          </w:rPr>
          <w:tab/>
        </w:r>
        <w:r w:rsidR="00AF76E6">
          <w:rPr>
            <w:noProof/>
            <w:webHidden/>
          </w:rPr>
          <w:fldChar w:fldCharType="begin"/>
        </w:r>
        <w:r w:rsidR="00AF76E6">
          <w:rPr>
            <w:noProof/>
            <w:webHidden/>
          </w:rPr>
          <w:instrText xml:space="preserve"> PAGEREF _Toc152766318 \h </w:instrText>
        </w:r>
        <w:r w:rsidR="00AF76E6">
          <w:rPr>
            <w:noProof/>
            <w:webHidden/>
          </w:rPr>
        </w:r>
        <w:r w:rsidR="00AF76E6">
          <w:rPr>
            <w:noProof/>
            <w:webHidden/>
          </w:rPr>
          <w:fldChar w:fldCharType="separate"/>
        </w:r>
        <w:r w:rsidR="00AF76E6">
          <w:rPr>
            <w:noProof/>
            <w:webHidden/>
          </w:rPr>
          <w:t>21</w:t>
        </w:r>
        <w:r w:rsidR="00AF76E6">
          <w:rPr>
            <w:noProof/>
            <w:webHidden/>
          </w:rPr>
          <w:fldChar w:fldCharType="end"/>
        </w:r>
      </w:hyperlink>
    </w:p>
    <w:p w14:paraId="1F4D96C4" w14:textId="7B83B043" w:rsidR="00AF76E6" w:rsidRDefault="00CB21A3">
      <w:pPr>
        <w:pStyle w:val="TOC1"/>
        <w:rPr>
          <w:rFonts w:asciiTheme="minorHAnsi" w:eastAsiaTheme="minorEastAsia" w:hAnsiTheme="minorHAnsi"/>
          <w:b w:val="0"/>
          <w:lang w:eastAsia="en-CA"/>
        </w:rPr>
      </w:pPr>
      <w:hyperlink w:anchor="_Toc152766319" w:history="1">
        <w:r w:rsidR="00AF76E6" w:rsidRPr="00A47E10">
          <w:rPr>
            <w:rStyle w:val="Hyperlink"/>
            <w:lang w:val="fr-CA"/>
          </w:rPr>
          <w:t>5.</w:t>
        </w:r>
        <w:r w:rsidR="00AF76E6">
          <w:rPr>
            <w:rFonts w:asciiTheme="minorHAnsi" w:eastAsiaTheme="minorEastAsia" w:hAnsiTheme="minorHAnsi"/>
            <w:b w:val="0"/>
            <w:lang w:eastAsia="en-CA"/>
          </w:rPr>
          <w:tab/>
        </w:r>
        <w:r w:rsidR="00AF76E6" w:rsidRPr="00A47E10">
          <w:rPr>
            <w:rStyle w:val="Hyperlink"/>
            <w:lang w:val="fr-CA"/>
          </w:rPr>
          <w:t>Procédures d’exploitation</w:t>
        </w:r>
        <w:r w:rsidR="00AF76E6">
          <w:rPr>
            <w:webHidden/>
          </w:rPr>
          <w:tab/>
        </w:r>
        <w:r w:rsidR="00AF76E6">
          <w:rPr>
            <w:webHidden/>
          </w:rPr>
          <w:fldChar w:fldCharType="begin"/>
        </w:r>
        <w:r w:rsidR="00AF76E6">
          <w:rPr>
            <w:webHidden/>
          </w:rPr>
          <w:instrText xml:space="preserve"> PAGEREF _Toc152766319 \h </w:instrText>
        </w:r>
        <w:r w:rsidR="00AF76E6">
          <w:rPr>
            <w:webHidden/>
          </w:rPr>
        </w:r>
        <w:r w:rsidR="00AF76E6">
          <w:rPr>
            <w:webHidden/>
          </w:rPr>
          <w:fldChar w:fldCharType="separate"/>
        </w:r>
        <w:r w:rsidR="00AF76E6">
          <w:rPr>
            <w:webHidden/>
          </w:rPr>
          <w:t>21</w:t>
        </w:r>
        <w:r w:rsidR="00AF76E6">
          <w:rPr>
            <w:webHidden/>
          </w:rPr>
          <w:fldChar w:fldCharType="end"/>
        </w:r>
      </w:hyperlink>
    </w:p>
    <w:p w14:paraId="7E9D9CE4" w14:textId="6418B041" w:rsidR="00AF76E6" w:rsidRDefault="00CB21A3">
      <w:pPr>
        <w:pStyle w:val="TOC2"/>
        <w:rPr>
          <w:rFonts w:asciiTheme="minorHAnsi" w:eastAsiaTheme="minorEastAsia" w:hAnsiTheme="minorHAnsi"/>
          <w:noProof/>
          <w:lang w:eastAsia="en-CA"/>
        </w:rPr>
      </w:pPr>
      <w:hyperlink w:anchor="_Toc152766320" w:history="1">
        <w:r w:rsidR="00AF76E6" w:rsidRPr="00A47E10">
          <w:rPr>
            <w:rStyle w:val="Hyperlink"/>
            <w:noProof/>
            <w:lang w:val="fr-CA"/>
          </w:rPr>
          <w:t>5.1</w:t>
        </w:r>
        <w:r w:rsidR="00AF76E6">
          <w:rPr>
            <w:rFonts w:asciiTheme="minorHAnsi" w:eastAsiaTheme="minorEastAsia" w:hAnsiTheme="minorHAnsi"/>
            <w:noProof/>
            <w:lang w:eastAsia="en-CA"/>
          </w:rPr>
          <w:tab/>
        </w:r>
        <w:r w:rsidR="00AF76E6" w:rsidRPr="00A47E10">
          <w:rPr>
            <w:rStyle w:val="Hyperlink"/>
            <w:noProof/>
            <w:lang w:val="fr-CA"/>
          </w:rPr>
          <w:t>Dispositifs d’assistance à l’opérateur</w:t>
        </w:r>
        <w:r w:rsidR="00AF76E6">
          <w:rPr>
            <w:noProof/>
            <w:webHidden/>
          </w:rPr>
          <w:tab/>
        </w:r>
        <w:r w:rsidR="00AF76E6">
          <w:rPr>
            <w:noProof/>
            <w:webHidden/>
          </w:rPr>
          <w:fldChar w:fldCharType="begin"/>
        </w:r>
        <w:r w:rsidR="00AF76E6">
          <w:rPr>
            <w:noProof/>
            <w:webHidden/>
          </w:rPr>
          <w:instrText xml:space="preserve"> PAGEREF _Toc152766320 \h </w:instrText>
        </w:r>
        <w:r w:rsidR="00AF76E6">
          <w:rPr>
            <w:noProof/>
            <w:webHidden/>
          </w:rPr>
        </w:r>
        <w:r w:rsidR="00AF76E6">
          <w:rPr>
            <w:noProof/>
            <w:webHidden/>
          </w:rPr>
          <w:fldChar w:fldCharType="separate"/>
        </w:r>
        <w:r w:rsidR="00AF76E6">
          <w:rPr>
            <w:noProof/>
            <w:webHidden/>
          </w:rPr>
          <w:t>22</w:t>
        </w:r>
        <w:r w:rsidR="00AF76E6">
          <w:rPr>
            <w:noProof/>
            <w:webHidden/>
          </w:rPr>
          <w:fldChar w:fldCharType="end"/>
        </w:r>
      </w:hyperlink>
    </w:p>
    <w:p w14:paraId="7F98BFCD" w14:textId="21FC18D0" w:rsidR="00AF76E6" w:rsidRDefault="00CB21A3">
      <w:pPr>
        <w:pStyle w:val="TOC2"/>
        <w:rPr>
          <w:rFonts w:asciiTheme="minorHAnsi" w:eastAsiaTheme="minorEastAsia" w:hAnsiTheme="minorHAnsi"/>
          <w:noProof/>
          <w:lang w:eastAsia="en-CA"/>
        </w:rPr>
      </w:pPr>
      <w:hyperlink w:anchor="_Toc152766321" w:history="1">
        <w:r w:rsidR="00AF76E6" w:rsidRPr="00A47E10">
          <w:rPr>
            <w:rStyle w:val="Hyperlink"/>
            <w:noProof/>
            <w:lang w:val="fr-CA"/>
          </w:rPr>
          <w:t>5.2</w:t>
        </w:r>
        <w:r w:rsidR="00AF76E6">
          <w:rPr>
            <w:rFonts w:asciiTheme="minorHAnsi" w:eastAsiaTheme="minorEastAsia" w:hAnsiTheme="minorHAnsi"/>
            <w:noProof/>
            <w:lang w:eastAsia="en-CA"/>
          </w:rPr>
          <w:tab/>
        </w:r>
        <w:r w:rsidR="00AF76E6" w:rsidRPr="00A47E10">
          <w:rPr>
            <w:rStyle w:val="Hyperlink"/>
            <w:noProof/>
            <w:lang w:val="fr-CA"/>
          </w:rPr>
          <w:t>Autorisation de travaux</w:t>
        </w:r>
        <w:r w:rsidR="00AF76E6">
          <w:rPr>
            <w:noProof/>
            <w:webHidden/>
          </w:rPr>
          <w:tab/>
        </w:r>
        <w:r w:rsidR="00AF76E6">
          <w:rPr>
            <w:noProof/>
            <w:webHidden/>
          </w:rPr>
          <w:fldChar w:fldCharType="begin"/>
        </w:r>
        <w:r w:rsidR="00AF76E6">
          <w:rPr>
            <w:noProof/>
            <w:webHidden/>
          </w:rPr>
          <w:instrText xml:space="preserve"> PAGEREF _Toc152766321 \h </w:instrText>
        </w:r>
        <w:r w:rsidR="00AF76E6">
          <w:rPr>
            <w:noProof/>
            <w:webHidden/>
          </w:rPr>
        </w:r>
        <w:r w:rsidR="00AF76E6">
          <w:rPr>
            <w:noProof/>
            <w:webHidden/>
          </w:rPr>
          <w:fldChar w:fldCharType="separate"/>
        </w:r>
        <w:r w:rsidR="00AF76E6">
          <w:rPr>
            <w:noProof/>
            <w:webHidden/>
          </w:rPr>
          <w:t>22</w:t>
        </w:r>
        <w:r w:rsidR="00AF76E6">
          <w:rPr>
            <w:noProof/>
            <w:webHidden/>
          </w:rPr>
          <w:fldChar w:fldCharType="end"/>
        </w:r>
      </w:hyperlink>
    </w:p>
    <w:p w14:paraId="220307BF" w14:textId="79993FCD" w:rsidR="00AF76E6" w:rsidRDefault="00CB21A3">
      <w:pPr>
        <w:pStyle w:val="TOC1"/>
        <w:rPr>
          <w:rFonts w:asciiTheme="minorHAnsi" w:eastAsiaTheme="minorEastAsia" w:hAnsiTheme="minorHAnsi"/>
          <w:b w:val="0"/>
          <w:lang w:eastAsia="en-CA"/>
        </w:rPr>
      </w:pPr>
      <w:hyperlink w:anchor="_Toc152766322" w:history="1">
        <w:r w:rsidR="00AF76E6" w:rsidRPr="00A47E10">
          <w:rPr>
            <w:rStyle w:val="Hyperlink"/>
            <w:lang w:val="fr-CA"/>
          </w:rPr>
          <w:t>6.</w:t>
        </w:r>
        <w:r w:rsidR="00AF76E6">
          <w:rPr>
            <w:rFonts w:asciiTheme="minorHAnsi" w:eastAsiaTheme="minorEastAsia" w:hAnsiTheme="minorHAnsi"/>
            <w:b w:val="0"/>
            <w:lang w:eastAsia="en-CA"/>
          </w:rPr>
          <w:tab/>
        </w:r>
        <w:r w:rsidR="00AF76E6" w:rsidRPr="00A47E10">
          <w:rPr>
            <w:rStyle w:val="Hyperlink"/>
            <w:lang w:val="fr-CA"/>
          </w:rPr>
          <w:t>Rapports sur l’expérience d’exploitation et examen de l’expérience d’exploitation</w:t>
        </w:r>
        <w:r w:rsidR="00AF76E6">
          <w:rPr>
            <w:webHidden/>
          </w:rPr>
          <w:tab/>
        </w:r>
        <w:r w:rsidR="00AF76E6">
          <w:rPr>
            <w:webHidden/>
          </w:rPr>
          <w:fldChar w:fldCharType="begin"/>
        </w:r>
        <w:r w:rsidR="00AF76E6">
          <w:rPr>
            <w:webHidden/>
          </w:rPr>
          <w:instrText xml:space="preserve"> PAGEREF _Toc152766322 \h </w:instrText>
        </w:r>
        <w:r w:rsidR="00AF76E6">
          <w:rPr>
            <w:webHidden/>
          </w:rPr>
        </w:r>
        <w:r w:rsidR="00AF76E6">
          <w:rPr>
            <w:webHidden/>
          </w:rPr>
          <w:fldChar w:fldCharType="separate"/>
        </w:r>
        <w:r w:rsidR="00AF76E6">
          <w:rPr>
            <w:webHidden/>
          </w:rPr>
          <w:t>23</w:t>
        </w:r>
        <w:r w:rsidR="00AF76E6">
          <w:rPr>
            <w:webHidden/>
          </w:rPr>
          <w:fldChar w:fldCharType="end"/>
        </w:r>
      </w:hyperlink>
    </w:p>
    <w:p w14:paraId="694CEFFE" w14:textId="4474E5F8" w:rsidR="00AF76E6" w:rsidRDefault="00CB21A3">
      <w:pPr>
        <w:pStyle w:val="TOC2"/>
        <w:rPr>
          <w:rFonts w:asciiTheme="minorHAnsi" w:eastAsiaTheme="minorEastAsia" w:hAnsiTheme="minorHAnsi"/>
          <w:noProof/>
          <w:lang w:eastAsia="en-CA"/>
        </w:rPr>
      </w:pPr>
      <w:hyperlink w:anchor="_Toc152766323" w:history="1">
        <w:r w:rsidR="00AF76E6" w:rsidRPr="00A47E10">
          <w:rPr>
            <w:rStyle w:val="Hyperlink"/>
            <w:noProof/>
            <w:lang w:val="fr-CA"/>
          </w:rPr>
          <w:t>6.1</w:t>
        </w:r>
        <w:r w:rsidR="00AF76E6">
          <w:rPr>
            <w:rFonts w:asciiTheme="minorHAnsi" w:eastAsiaTheme="minorEastAsia" w:hAnsiTheme="minorHAnsi"/>
            <w:noProof/>
            <w:lang w:eastAsia="en-CA"/>
          </w:rPr>
          <w:tab/>
        </w:r>
        <w:r w:rsidR="00AF76E6" w:rsidRPr="00A47E10">
          <w:rPr>
            <w:rStyle w:val="Hyperlink"/>
            <w:noProof/>
            <w:lang w:val="fr-CA"/>
          </w:rPr>
          <w:t>Surveillance de la conduite de l’exploitation et présentation de rapports sur la conduite de l’exploitation</w:t>
        </w:r>
        <w:r w:rsidR="00AF76E6">
          <w:rPr>
            <w:noProof/>
            <w:webHidden/>
          </w:rPr>
          <w:tab/>
        </w:r>
        <w:r w:rsidR="00AF76E6">
          <w:rPr>
            <w:noProof/>
            <w:webHidden/>
          </w:rPr>
          <w:fldChar w:fldCharType="begin"/>
        </w:r>
        <w:r w:rsidR="00AF76E6">
          <w:rPr>
            <w:noProof/>
            <w:webHidden/>
          </w:rPr>
          <w:instrText xml:space="preserve"> PAGEREF _Toc152766323 \h </w:instrText>
        </w:r>
        <w:r w:rsidR="00AF76E6">
          <w:rPr>
            <w:noProof/>
            <w:webHidden/>
          </w:rPr>
        </w:r>
        <w:r w:rsidR="00AF76E6">
          <w:rPr>
            <w:noProof/>
            <w:webHidden/>
          </w:rPr>
          <w:fldChar w:fldCharType="separate"/>
        </w:r>
        <w:r w:rsidR="00AF76E6">
          <w:rPr>
            <w:noProof/>
            <w:webHidden/>
          </w:rPr>
          <w:t>23</w:t>
        </w:r>
        <w:r w:rsidR="00AF76E6">
          <w:rPr>
            <w:noProof/>
            <w:webHidden/>
          </w:rPr>
          <w:fldChar w:fldCharType="end"/>
        </w:r>
      </w:hyperlink>
    </w:p>
    <w:p w14:paraId="479FD9A9" w14:textId="100D34CE" w:rsidR="00AF76E6" w:rsidRDefault="00CB21A3">
      <w:pPr>
        <w:pStyle w:val="TOC2"/>
        <w:rPr>
          <w:rFonts w:asciiTheme="minorHAnsi" w:eastAsiaTheme="minorEastAsia" w:hAnsiTheme="minorHAnsi"/>
          <w:noProof/>
          <w:lang w:eastAsia="en-CA"/>
        </w:rPr>
      </w:pPr>
      <w:hyperlink w:anchor="_Toc152766324" w:history="1">
        <w:r w:rsidR="00AF76E6" w:rsidRPr="00A47E10">
          <w:rPr>
            <w:rStyle w:val="Hyperlink"/>
            <w:noProof/>
            <w:lang w:val="fr-CA"/>
          </w:rPr>
          <w:t>6.2</w:t>
        </w:r>
        <w:r w:rsidR="00AF76E6">
          <w:rPr>
            <w:rFonts w:asciiTheme="minorHAnsi" w:eastAsiaTheme="minorEastAsia" w:hAnsiTheme="minorHAnsi"/>
            <w:noProof/>
            <w:lang w:eastAsia="en-CA"/>
          </w:rPr>
          <w:tab/>
        </w:r>
        <w:r w:rsidR="00AF76E6" w:rsidRPr="00A47E10">
          <w:rPr>
            <w:rStyle w:val="Hyperlink"/>
            <w:noProof/>
            <w:lang w:val="fr-CA"/>
          </w:rPr>
          <w:t>Indicateurs de rendement en matière d’exploitation</w:t>
        </w:r>
        <w:r w:rsidR="00AF76E6">
          <w:rPr>
            <w:noProof/>
            <w:webHidden/>
          </w:rPr>
          <w:tab/>
        </w:r>
        <w:r w:rsidR="00AF76E6">
          <w:rPr>
            <w:noProof/>
            <w:webHidden/>
          </w:rPr>
          <w:fldChar w:fldCharType="begin"/>
        </w:r>
        <w:r w:rsidR="00AF76E6">
          <w:rPr>
            <w:noProof/>
            <w:webHidden/>
          </w:rPr>
          <w:instrText xml:space="preserve"> PAGEREF _Toc152766324 \h </w:instrText>
        </w:r>
        <w:r w:rsidR="00AF76E6">
          <w:rPr>
            <w:noProof/>
            <w:webHidden/>
          </w:rPr>
        </w:r>
        <w:r w:rsidR="00AF76E6">
          <w:rPr>
            <w:noProof/>
            <w:webHidden/>
          </w:rPr>
          <w:fldChar w:fldCharType="separate"/>
        </w:r>
        <w:r w:rsidR="00AF76E6">
          <w:rPr>
            <w:noProof/>
            <w:webHidden/>
          </w:rPr>
          <w:t>23</w:t>
        </w:r>
        <w:r w:rsidR="00AF76E6">
          <w:rPr>
            <w:noProof/>
            <w:webHidden/>
          </w:rPr>
          <w:fldChar w:fldCharType="end"/>
        </w:r>
      </w:hyperlink>
    </w:p>
    <w:p w14:paraId="5A6E01EF" w14:textId="145C2F0D" w:rsidR="00AF76E6" w:rsidRDefault="00CB21A3">
      <w:pPr>
        <w:pStyle w:val="TOC2"/>
        <w:rPr>
          <w:rFonts w:asciiTheme="minorHAnsi" w:eastAsiaTheme="minorEastAsia" w:hAnsiTheme="minorHAnsi"/>
          <w:noProof/>
          <w:lang w:eastAsia="en-CA"/>
        </w:rPr>
      </w:pPr>
      <w:hyperlink w:anchor="_Toc152766325" w:history="1">
        <w:r w:rsidR="00AF76E6" w:rsidRPr="00A47E10">
          <w:rPr>
            <w:rStyle w:val="Hyperlink"/>
            <w:noProof/>
            <w:lang w:val="fr-CA"/>
          </w:rPr>
          <w:t>6.3</w:t>
        </w:r>
        <w:r w:rsidR="00AF76E6">
          <w:rPr>
            <w:rFonts w:asciiTheme="minorHAnsi" w:eastAsiaTheme="minorEastAsia" w:hAnsiTheme="minorHAnsi"/>
            <w:noProof/>
            <w:lang w:eastAsia="en-CA"/>
          </w:rPr>
          <w:tab/>
        </w:r>
        <w:r w:rsidR="00AF76E6" w:rsidRPr="00A47E10">
          <w:rPr>
            <w:rStyle w:val="Hyperlink"/>
            <w:noProof/>
            <w:lang w:val="fr-CA"/>
          </w:rPr>
          <w:t>Rapports sur l’expérience d’exploitation</w:t>
        </w:r>
        <w:r w:rsidR="00AF76E6">
          <w:rPr>
            <w:noProof/>
            <w:webHidden/>
          </w:rPr>
          <w:tab/>
        </w:r>
        <w:r w:rsidR="00AF76E6">
          <w:rPr>
            <w:noProof/>
            <w:webHidden/>
          </w:rPr>
          <w:fldChar w:fldCharType="begin"/>
        </w:r>
        <w:r w:rsidR="00AF76E6">
          <w:rPr>
            <w:noProof/>
            <w:webHidden/>
          </w:rPr>
          <w:instrText xml:space="preserve"> PAGEREF _Toc152766325 \h </w:instrText>
        </w:r>
        <w:r w:rsidR="00AF76E6">
          <w:rPr>
            <w:noProof/>
            <w:webHidden/>
          </w:rPr>
        </w:r>
        <w:r w:rsidR="00AF76E6">
          <w:rPr>
            <w:noProof/>
            <w:webHidden/>
          </w:rPr>
          <w:fldChar w:fldCharType="separate"/>
        </w:r>
        <w:r w:rsidR="00AF76E6">
          <w:rPr>
            <w:noProof/>
            <w:webHidden/>
          </w:rPr>
          <w:t>24</w:t>
        </w:r>
        <w:r w:rsidR="00AF76E6">
          <w:rPr>
            <w:noProof/>
            <w:webHidden/>
          </w:rPr>
          <w:fldChar w:fldCharType="end"/>
        </w:r>
      </w:hyperlink>
    </w:p>
    <w:p w14:paraId="494D09FC" w14:textId="6D9DE2AC" w:rsidR="00AF76E6" w:rsidRDefault="00CB21A3">
      <w:pPr>
        <w:pStyle w:val="TOC2"/>
        <w:rPr>
          <w:rFonts w:asciiTheme="minorHAnsi" w:eastAsiaTheme="minorEastAsia" w:hAnsiTheme="minorHAnsi"/>
          <w:noProof/>
          <w:lang w:eastAsia="en-CA"/>
        </w:rPr>
      </w:pPr>
      <w:hyperlink w:anchor="_Toc152766326" w:history="1">
        <w:r w:rsidR="00AF76E6" w:rsidRPr="00A47E10">
          <w:rPr>
            <w:rStyle w:val="Hyperlink"/>
            <w:noProof/>
            <w:lang w:val="fr-CA"/>
          </w:rPr>
          <w:t>6.4</w:t>
        </w:r>
        <w:r w:rsidR="00AF76E6">
          <w:rPr>
            <w:rFonts w:asciiTheme="minorHAnsi" w:eastAsiaTheme="minorEastAsia" w:hAnsiTheme="minorHAnsi"/>
            <w:noProof/>
            <w:lang w:eastAsia="en-CA"/>
          </w:rPr>
          <w:tab/>
        </w:r>
        <w:r w:rsidR="00AF76E6" w:rsidRPr="00A47E10">
          <w:rPr>
            <w:rStyle w:val="Hyperlink"/>
            <w:noProof/>
            <w:lang w:val="fr-CA"/>
          </w:rPr>
          <w:t>Examen de l’expérience d’exploitation</w:t>
        </w:r>
        <w:r w:rsidR="00AF76E6">
          <w:rPr>
            <w:noProof/>
            <w:webHidden/>
          </w:rPr>
          <w:tab/>
        </w:r>
        <w:r w:rsidR="00AF76E6">
          <w:rPr>
            <w:noProof/>
            <w:webHidden/>
          </w:rPr>
          <w:fldChar w:fldCharType="begin"/>
        </w:r>
        <w:r w:rsidR="00AF76E6">
          <w:rPr>
            <w:noProof/>
            <w:webHidden/>
          </w:rPr>
          <w:instrText xml:space="preserve"> PAGEREF _Toc152766326 \h </w:instrText>
        </w:r>
        <w:r w:rsidR="00AF76E6">
          <w:rPr>
            <w:noProof/>
            <w:webHidden/>
          </w:rPr>
        </w:r>
        <w:r w:rsidR="00AF76E6">
          <w:rPr>
            <w:noProof/>
            <w:webHidden/>
          </w:rPr>
          <w:fldChar w:fldCharType="separate"/>
        </w:r>
        <w:r w:rsidR="00AF76E6">
          <w:rPr>
            <w:noProof/>
            <w:webHidden/>
          </w:rPr>
          <w:t>24</w:t>
        </w:r>
        <w:r w:rsidR="00AF76E6">
          <w:rPr>
            <w:noProof/>
            <w:webHidden/>
          </w:rPr>
          <w:fldChar w:fldCharType="end"/>
        </w:r>
      </w:hyperlink>
    </w:p>
    <w:p w14:paraId="2B84F26C" w14:textId="43B296C4" w:rsidR="00AF76E6" w:rsidRDefault="00CB21A3">
      <w:pPr>
        <w:pStyle w:val="TOC1"/>
        <w:rPr>
          <w:rFonts w:asciiTheme="minorHAnsi" w:eastAsiaTheme="minorEastAsia" w:hAnsiTheme="minorHAnsi"/>
          <w:b w:val="0"/>
          <w:lang w:eastAsia="en-CA"/>
        </w:rPr>
      </w:pPr>
      <w:hyperlink w:anchor="_Toc152766327" w:history="1">
        <w:r w:rsidR="00AF76E6" w:rsidRPr="00A47E10">
          <w:rPr>
            <w:rStyle w:val="Hyperlink"/>
            <w:lang w:val="fr-CA"/>
          </w:rPr>
          <w:t>7.</w:t>
        </w:r>
        <w:r w:rsidR="00AF76E6">
          <w:rPr>
            <w:rFonts w:asciiTheme="minorHAnsi" w:eastAsiaTheme="minorEastAsia" w:hAnsiTheme="minorHAnsi"/>
            <w:b w:val="0"/>
            <w:lang w:eastAsia="en-CA"/>
          </w:rPr>
          <w:tab/>
        </w:r>
        <w:r w:rsidR="00AF76E6" w:rsidRPr="00A47E10">
          <w:rPr>
            <w:rStyle w:val="Hyperlink"/>
            <w:lang w:val="fr-CA"/>
          </w:rPr>
          <w:t>Gestion des arrêts</w:t>
        </w:r>
        <w:r w:rsidR="00AF76E6">
          <w:rPr>
            <w:webHidden/>
          </w:rPr>
          <w:tab/>
        </w:r>
        <w:r w:rsidR="00AF76E6">
          <w:rPr>
            <w:webHidden/>
          </w:rPr>
          <w:fldChar w:fldCharType="begin"/>
        </w:r>
        <w:r w:rsidR="00AF76E6">
          <w:rPr>
            <w:webHidden/>
          </w:rPr>
          <w:instrText xml:space="preserve"> PAGEREF _Toc152766327 \h </w:instrText>
        </w:r>
        <w:r w:rsidR="00AF76E6">
          <w:rPr>
            <w:webHidden/>
          </w:rPr>
        </w:r>
        <w:r w:rsidR="00AF76E6">
          <w:rPr>
            <w:webHidden/>
          </w:rPr>
          <w:fldChar w:fldCharType="separate"/>
        </w:r>
        <w:r w:rsidR="00AF76E6">
          <w:rPr>
            <w:webHidden/>
          </w:rPr>
          <w:t>25</w:t>
        </w:r>
        <w:r w:rsidR="00AF76E6">
          <w:rPr>
            <w:webHidden/>
          </w:rPr>
          <w:fldChar w:fldCharType="end"/>
        </w:r>
      </w:hyperlink>
    </w:p>
    <w:p w14:paraId="2654E5F6" w14:textId="68C688C2" w:rsidR="00AF76E6" w:rsidRDefault="00CB21A3">
      <w:pPr>
        <w:pStyle w:val="TOC2"/>
        <w:rPr>
          <w:rFonts w:asciiTheme="minorHAnsi" w:eastAsiaTheme="minorEastAsia" w:hAnsiTheme="minorHAnsi"/>
          <w:noProof/>
          <w:lang w:eastAsia="en-CA"/>
        </w:rPr>
      </w:pPr>
      <w:hyperlink w:anchor="_Toc152766328" w:history="1">
        <w:r w:rsidR="00AF76E6" w:rsidRPr="00A47E10">
          <w:rPr>
            <w:rStyle w:val="Hyperlink"/>
            <w:noProof/>
            <w:lang w:val="fr-CA"/>
          </w:rPr>
          <w:t>7.1</w:t>
        </w:r>
        <w:r w:rsidR="00AF76E6">
          <w:rPr>
            <w:rFonts w:asciiTheme="minorHAnsi" w:eastAsiaTheme="minorEastAsia" w:hAnsiTheme="minorHAnsi"/>
            <w:noProof/>
            <w:lang w:eastAsia="en-CA"/>
          </w:rPr>
          <w:tab/>
        </w:r>
        <w:r w:rsidR="00AF76E6" w:rsidRPr="00A47E10">
          <w:rPr>
            <w:rStyle w:val="Hyperlink"/>
            <w:noProof/>
            <w:lang w:val="fr-CA"/>
          </w:rPr>
          <w:t>Rôles et responsabilités</w:t>
        </w:r>
        <w:r w:rsidR="00AF76E6">
          <w:rPr>
            <w:noProof/>
            <w:webHidden/>
          </w:rPr>
          <w:tab/>
        </w:r>
        <w:r w:rsidR="00AF76E6">
          <w:rPr>
            <w:noProof/>
            <w:webHidden/>
          </w:rPr>
          <w:fldChar w:fldCharType="begin"/>
        </w:r>
        <w:r w:rsidR="00AF76E6">
          <w:rPr>
            <w:noProof/>
            <w:webHidden/>
          </w:rPr>
          <w:instrText xml:space="preserve"> PAGEREF _Toc152766328 \h </w:instrText>
        </w:r>
        <w:r w:rsidR="00AF76E6">
          <w:rPr>
            <w:noProof/>
            <w:webHidden/>
          </w:rPr>
        </w:r>
        <w:r w:rsidR="00AF76E6">
          <w:rPr>
            <w:noProof/>
            <w:webHidden/>
          </w:rPr>
          <w:fldChar w:fldCharType="separate"/>
        </w:r>
        <w:r w:rsidR="00AF76E6">
          <w:rPr>
            <w:noProof/>
            <w:webHidden/>
          </w:rPr>
          <w:t>26</w:t>
        </w:r>
        <w:r w:rsidR="00AF76E6">
          <w:rPr>
            <w:noProof/>
            <w:webHidden/>
          </w:rPr>
          <w:fldChar w:fldCharType="end"/>
        </w:r>
      </w:hyperlink>
    </w:p>
    <w:p w14:paraId="2206E835" w14:textId="26F4F2AE" w:rsidR="00AF76E6" w:rsidRDefault="00CB21A3">
      <w:pPr>
        <w:pStyle w:val="TOC2"/>
        <w:rPr>
          <w:rFonts w:asciiTheme="minorHAnsi" w:eastAsiaTheme="minorEastAsia" w:hAnsiTheme="minorHAnsi"/>
          <w:noProof/>
          <w:lang w:eastAsia="en-CA"/>
        </w:rPr>
      </w:pPr>
      <w:hyperlink w:anchor="_Toc152766329" w:history="1">
        <w:r w:rsidR="00AF76E6" w:rsidRPr="00A47E10">
          <w:rPr>
            <w:rStyle w:val="Hyperlink"/>
            <w:noProof/>
            <w:lang w:val="fr-CA"/>
          </w:rPr>
          <w:t>7.2</w:t>
        </w:r>
        <w:r w:rsidR="00AF76E6">
          <w:rPr>
            <w:rFonts w:asciiTheme="minorHAnsi" w:eastAsiaTheme="minorEastAsia" w:hAnsiTheme="minorHAnsi"/>
            <w:noProof/>
            <w:lang w:eastAsia="en-CA"/>
          </w:rPr>
          <w:tab/>
        </w:r>
        <w:r w:rsidR="00AF76E6" w:rsidRPr="00A47E10">
          <w:rPr>
            <w:rStyle w:val="Hyperlink"/>
            <w:noProof/>
            <w:lang w:val="fr-CA"/>
          </w:rPr>
          <w:t>Planification de l’arrêt et établissement de sa portée</w:t>
        </w:r>
        <w:r w:rsidR="00AF76E6">
          <w:rPr>
            <w:noProof/>
            <w:webHidden/>
          </w:rPr>
          <w:tab/>
        </w:r>
        <w:r w:rsidR="00AF76E6">
          <w:rPr>
            <w:noProof/>
            <w:webHidden/>
          </w:rPr>
          <w:fldChar w:fldCharType="begin"/>
        </w:r>
        <w:r w:rsidR="00AF76E6">
          <w:rPr>
            <w:noProof/>
            <w:webHidden/>
          </w:rPr>
          <w:instrText xml:space="preserve"> PAGEREF _Toc152766329 \h </w:instrText>
        </w:r>
        <w:r w:rsidR="00AF76E6">
          <w:rPr>
            <w:noProof/>
            <w:webHidden/>
          </w:rPr>
        </w:r>
        <w:r w:rsidR="00AF76E6">
          <w:rPr>
            <w:noProof/>
            <w:webHidden/>
          </w:rPr>
          <w:fldChar w:fldCharType="separate"/>
        </w:r>
        <w:r w:rsidR="00AF76E6">
          <w:rPr>
            <w:noProof/>
            <w:webHidden/>
          </w:rPr>
          <w:t>26</w:t>
        </w:r>
        <w:r w:rsidR="00AF76E6">
          <w:rPr>
            <w:noProof/>
            <w:webHidden/>
          </w:rPr>
          <w:fldChar w:fldCharType="end"/>
        </w:r>
      </w:hyperlink>
    </w:p>
    <w:p w14:paraId="7E070AEC" w14:textId="48D78C58" w:rsidR="00AF76E6" w:rsidRDefault="00CB21A3">
      <w:pPr>
        <w:pStyle w:val="TOC2"/>
        <w:rPr>
          <w:rFonts w:asciiTheme="minorHAnsi" w:eastAsiaTheme="minorEastAsia" w:hAnsiTheme="minorHAnsi"/>
          <w:noProof/>
          <w:lang w:eastAsia="en-CA"/>
        </w:rPr>
      </w:pPr>
      <w:hyperlink w:anchor="_Toc152766330" w:history="1">
        <w:r w:rsidR="00AF76E6" w:rsidRPr="00A47E10">
          <w:rPr>
            <w:rStyle w:val="Hyperlink"/>
            <w:noProof/>
            <w:lang w:val="fr-CA"/>
          </w:rPr>
          <w:t>7.3</w:t>
        </w:r>
        <w:r w:rsidR="00AF76E6">
          <w:rPr>
            <w:rFonts w:asciiTheme="minorHAnsi" w:eastAsiaTheme="minorEastAsia" w:hAnsiTheme="minorHAnsi"/>
            <w:noProof/>
            <w:lang w:eastAsia="en-CA"/>
          </w:rPr>
          <w:tab/>
        </w:r>
        <w:r w:rsidR="00AF76E6" w:rsidRPr="00A47E10">
          <w:rPr>
            <w:rStyle w:val="Hyperlink"/>
            <w:noProof/>
            <w:lang w:val="fr-CA"/>
          </w:rPr>
          <w:t>Indicateurs de rendement en matière d’arrêt</w:t>
        </w:r>
        <w:r w:rsidR="00AF76E6">
          <w:rPr>
            <w:noProof/>
            <w:webHidden/>
          </w:rPr>
          <w:tab/>
        </w:r>
        <w:r w:rsidR="00AF76E6">
          <w:rPr>
            <w:noProof/>
            <w:webHidden/>
          </w:rPr>
          <w:fldChar w:fldCharType="begin"/>
        </w:r>
        <w:r w:rsidR="00AF76E6">
          <w:rPr>
            <w:noProof/>
            <w:webHidden/>
          </w:rPr>
          <w:instrText xml:space="preserve"> PAGEREF _Toc152766330 \h </w:instrText>
        </w:r>
        <w:r w:rsidR="00AF76E6">
          <w:rPr>
            <w:noProof/>
            <w:webHidden/>
          </w:rPr>
        </w:r>
        <w:r w:rsidR="00AF76E6">
          <w:rPr>
            <w:noProof/>
            <w:webHidden/>
          </w:rPr>
          <w:fldChar w:fldCharType="separate"/>
        </w:r>
        <w:r w:rsidR="00AF76E6">
          <w:rPr>
            <w:noProof/>
            <w:webHidden/>
          </w:rPr>
          <w:t>27</w:t>
        </w:r>
        <w:r w:rsidR="00AF76E6">
          <w:rPr>
            <w:noProof/>
            <w:webHidden/>
          </w:rPr>
          <w:fldChar w:fldCharType="end"/>
        </w:r>
      </w:hyperlink>
    </w:p>
    <w:p w14:paraId="6F3AFF7C" w14:textId="50FD6FFE" w:rsidR="00AF76E6" w:rsidRDefault="00CB21A3">
      <w:pPr>
        <w:pStyle w:val="TOC2"/>
        <w:rPr>
          <w:rFonts w:asciiTheme="minorHAnsi" w:eastAsiaTheme="minorEastAsia" w:hAnsiTheme="minorHAnsi"/>
          <w:noProof/>
          <w:lang w:eastAsia="en-CA"/>
        </w:rPr>
      </w:pPr>
      <w:hyperlink w:anchor="_Toc152766331" w:history="1">
        <w:r w:rsidR="00AF76E6" w:rsidRPr="00A47E10">
          <w:rPr>
            <w:rStyle w:val="Hyperlink"/>
            <w:noProof/>
            <w:lang w:val="fr-CA"/>
          </w:rPr>
          <w:t>7.4</w:t>
        </w:r>
        <w:r w:rsidR="00AF76E6">
          <w:rPr>
            <w:rFonts w:asciiTheme="minorHAnsi" w:eastAsiaTheme="minorEastAsia" w:hAnsiTheme="minorHAnsi"/>
            <w:noProof/>
            <w:lang w:eastAsia="en-CA"/>
          </w:rPr>
          <w:tab/>
        </w:r>
        <w:r w:rsidR="00AF76E6" w:rsidRPr="00A47E10">
          <w:rPr>
            <w:rStyle w:val="Hyperlink"/>
            <w:noProof/>
            <w:lang w:val="fr-CA"/>
          </w:rPr>
          <w:t>Vérification préalable au redémarrage</w:t>
        </w:r>
        <w:r w:rsidR="00AF76E6">
          <w:rPr>
            <w:noProof/>
            <w:webHidden/>
          </w:rPr>
          <w:tab/>
        </w:r>
        <w:r w:rsidR="00AF76E6">
          <w:rPr>
            <w:noProof/>
            <w:webHidden/>
          </w:rPr>
          <w:fldChar w:fldCharType="begin"/>
        </w:r>
        <w:r w:rsidR="00AF76E6">
          <w:rPr>
            <w:noProof/>
            <w:webHidden/>
          </w:rPr>
          <w:instrText xml:space="preserve"> PAGEREF _Toc152766331 \h </w:instrText>
        </w:r>
        <w:r w:rsidR="00AF76E6">
          <w:rPr>
            <w:noProof/>
            <w:webHidden/>
          </w:rPr>
        </w:r>
        <w:r w:rsidR="00AF76E6">
          <w:rPr>
            <w:noProof/>
            <w:webHidden/>
          </w:rPr>
          <w:fldChar w:fldCharType="separate"/>
        </w:r>
        <w:r w:rsidR="00AF76E6">
          <w:rPr>
            <w:noProof/>
            <w:webHidden/>
          </w:rPr>
          <w:t>27</w:t>
        </w:r>
        <w:r w:rsidR="00AF76E6">
          <w:rPr>
            <w:noProof/>
            <w:webHidden/>
          </w:rPr>
          <w:fldChar w:fldCharType="end"/>
        </w:r>
      </w:hyperlink>
    </w:p>
    <w:p w14:paraId="45682CB6" w14:textId="6762BF92" w:rsidR="00AF76E6" w:rsidRDefault="00CB21A3">
      <w:pPr>
        <w:pStyle w:val="TOC2"/>
        <w:rPr>
          <w:rFonts w:asciiTheme="minorHAnsi" w:eastAsiaTheme="minorEastAsia" w:hAnsiTheme="minorHAnsi"/>
          <w:noProof/>
          <w:lang w:eastAsia="en-CA"/>
        </w:rPr>
      </w:pPr>
      <w:hyperlink w:anchor="_Toc152766332" w:history="1">
        <w:r w:rsidR="00AF76E6" w:rsidRPr="00A47E10">
          <w:rPr>
            <w:rStyle w:val="Hyperlink"/>
            <w:noProof/>
            <w:lang w:val="fr-CA"/>
          </w:rPr>
          <w:t>7.5</w:t>
        </w:r>
        <w:r w:rsidR="00AF76E6">
          <w:rPr>
            <w:rFonts w:asciiTheme="minorHAnsi" w:eastAsiaTheme="minorEastAsia" w:hAnsiTheme="minorHAnsi"/>
            <w:noProof/>
            <w:lang w:eastAsia="en-CA"/>
          </w:rPr>
          <w:tab/>
        </w:r>
        <w:r w:rsidR="00AF76E6" w:rsidRPr="00A47E10">
          <w:rPr>
            <w:rStyle w:val="Hyperlink"/>
            <w:noProof/>
            <w:lang w:val="fr-CA"/>
          </w:rPr>
          <w:t>Activités de clôture de l’arrêt</w:t>
        </w:r>
        <w:r w:rsidR="00AF76E6">
          <w:rPr>
            <w:noProof/>
            <w:webHidden/>
          </w:rPr>
          <w:tab/>
        </w:r>
        <w:r w:rsidR="00AF76E6">
          <w:rPr>
            <w:noProof/>
            <w:webHidden/>
          </w:rPr>
          <w:fldChar w:fldCharType="begin"/>
        </w:r>
        <w:r w:rsidR="00AF76E6">
          <w:rPr>
            <w:noProof/>
            <w:webHidden/>
          </w:rPr>
          <w:instrText xml:space="preserve"> PAGEREF _Toc152766332 \h </w:instrText>
        </w:r>
        <w:r w:rsidR="00AF76E6">
          <w:rPr>
            <w:noProof/>
            <w:webHidden/>
          </w:rPr>
        </w:r>
        <w:r w:rsidR="00AF76E6">
          <w:rPr>
            <w:noProof/>
            <w:webHidden/>
          </w:rPr>
          <w:fldChar w:fldCharType="separate"/>
        </w:r>
        <w:r w:rsidR="00AF76E6">
          <w:rPr>
            <w:noProof/>
            <w:webHidden/>
          </w:rPr>
          <w:t>28</w:t>
        </w:r>
        <w:r w:rsidR="00AF76E6">
          <w:rPr>
            <w:noProof/>
            <w:webHidden/>
          </w:rPr>
          <w:fldChar w:fldCharType="end"/>
        </w:r>
      </w:hyperlink>
    </w:p>
    <w:p w14:paraId="488814EA" w14:textId="7CCA4018" w:rsidR="00AF76E6" w:rsidRDefault="00CB21A3">
      <w:pPr>
        <w:pStyle w:val="TOC1"/>
        <w:rPr>
          <w:rFonts w:asciiTheme="minorHAnsi" w:eastAsiaTheme="minorEastAsia" w:hAnsiTheme="minorHAnsi"/>
          <w:b w:val="0"/>
          <w:lang w:eastAsia="en-CA"/>
        </w:rPr>
      </w:pPr>
      <w:hyperlink w:anchor="_Toc152766333" w:history="1">
        <w:r w:rsidR="00AF76E6" w:rsidRPr="00A47E10">
          <w:rPr>
            <w:rStyle w:val="Hyperlink"/>
            <w:lang w:val="fr-CA"/>
          </w:rPr>
          <w:t>8.</w:t>
        </w:r>
        <w:r w:rsidR="00AF76E6">
          <w:rPr>
            <w:rFonts w:asciiTheme="minorHAnsi" w:eastAsiaTheme="minorEastAsia" w:hAnsiTheme="minorHAnsi"/>
            <w:b w:val="0"/>
            <w:lang w:eastAsia="en-CA"/>
          </w:rPr>
          <w:tab/>
        </w:r>
        <w:r w:rsidR="00AF76E6" w:rsidRPr="00A47E10">
          <w:rPr>
            <w:rStyle w:val="Hyperlink"/>
            <w:lang w:val="fr-CA"/>
          </w:rPr>
          <w:t>Paramètres d’exploitation sûre</w:t>
        </w:r>
        <w:r w:rsidR="00AF76E6">
          <w:rPr>
            <w:webHidden/>
          </w:rPr>
          <w:tab/>
        </w:r>
        <w:r w:rsidR="00AF76E6">
          <w:rPr>
            <w:webHidden/>
          </w:rPr>
          <w:fldChar w:fldCharType="begin"/>
        </w:r>
        <w:r w:rsidR="00AF76E6">
          <w:rPr>
            <w:webHidden/>
          </w:rPr>
          <w:instrText xml:space="preserve"> PAGEREF _Toc152766333 \h </w:instrText>
        </w:r>
        <w:r w:rsidR="00AF76E6">
          <w:rPr>
            <w:webHidden/>
          </w:rPr>
        </w:r>
        <w:r w:rsidR="00AF76E6">
          <w:rPr>
            <w:webHidden/>
          </w:rPr>
          <w:fldChar w:fldCharType="separate"/>
        </w:r>
        <w:r w:rsidR="00AF76E6">
          <w:rPr>
            <w:webHidden/>
          </w:rPr>
          <w:t>28</w:t>
        </w:r>
        <w:r w:rsidR="00AF76E6">
          <w:rPr>
            <w:webHidden/>
          </w:rPr>
          <w:fldChar w:fldCharType="end"/>
        </w:r>
      </w:hyperlink>
    </w:p>
    <w:p w14:paraId="279723D6" w14:textId="6DACA004" w:rsidR="00AF76E6" w:rsidRDefault="00CB21A3">
      <w:pPr>
        <w:pStyle w:val="TOC2"/>
        <w:rPr>
          <w:rFonts w:asciiTheme="minorHAnsi" w:eastAsiaTheme="minorEastAsia" w:hAnsiTheme="minorHAnsi"/>
          <w:noProof/>
          <w:lang w:eastAsia="en-CA"/>
        </w:rPr>
      </w:pPr>
      <w:hyperlink w:anchor="_Toc152766334" w:history="1">
        <w:r w:rsidR="00AF76E6" w:rsidRPr="00A47E10">
          <w:rPr>
            <w:rStyle w:val="Hyperlink"/>
            <w:noProof/>
            <w:lang w:val="fr-CA"/>
          </w:rPr>
          <w:t>8.1</w:t>
        </w:r>
        <w:r w:rsidR="00AF76E6">
          <w:rPr>
            <w:rFonts w:asciiTheme="minorHAnsi" w:eastAsiaTheme="minorEastAsia" w:hAnsiTheme="minorHAnsi"/>
            <w:noProof/>
            <w:lang w:eastAsia="en-CA"/>
          </w:rPr>
          <w:tab/>
        </w:r>
        <w:r w:rsidR="00AF76E6" w:rsidRPr="00A47E10">
          <w:rPr>
            <w:rStyle w:val="Hyperlink"/>
            <w:noProof/>
            <w:lang w:val="fr-CA"/>
          </w:rPr>
          <w:t>Limites et conditions d’exploitation</w:t>
        </w:r>
        <w:r w:rsidR="00AF76E6">
          <w:rPr>
            <w:noProof/>
            <w:webHidden/>
          </w:rPr>
          <w:tab/>
        </w:r>
        <w:r w:rsidR="00AF76E6">
          <w:rPr>
            <w:noProof/>
            <w:webHidden/>
          </w:rPr>
          <w:fldChar w:fldCharType="begin"/>
        </w:r>
        <w:r w:rsidR="00AF76E6">
          <w:rPr>
            <w:noProof/>
            <w:webHidden/>
          </w:rPr>
          <w:instrText xml:space="preserve"> PAGEREF _Toc152766334 \h </w:instrText>
        </w:r>
        <w:r w:rsidR="00AF76E6">
          <w:rPr>
            <w:noProof/>
            <w:webHidden/>
          </w:rPr>
        </w:r>
        <w:r w:rsidR="00AF76E6">
          <w:rPr>
            <w:noProof/>
            <w:webHidden/>
          </w:rPr>
          <w:fldChar w:fldCharType="separate"/>
        </w:r>
        <w:r w:rsidR="00AF76E6">
          <w:rPr>
            <w:noProof/>
            <w:webHidden/>
          </w:rPr>
          <w:t>29</w:t>
        </w:r>
        <w:r w:rsidR="00AF76E6">
          <w:rPr>
            <w:noProof/>
            <w:webHidden/>
          </w:rPr>
          <w:fldChar w:fldCharType="end"/>
        </w:r>
      </w:hyperlink>
    </w:p>
    <w:p w14:paraId="6C467F83" w14:textId="7FAB0B24" w:rsidR="00AF76E6" w:rsidRDefault="00CB21A3">
      <w:pPr>
        <w:pStyle w:val="TOC2"/>
        <w:rPr>
          <w:rFonts w:asciiTheme="minorHAnsi" w:eastAsiaTheme="minorEastAsia" w:hAnsiTheme="minorHAnsi"/>
          <w:noProof/>
          <w:lang w:eastAsia="en-CA"/>
        </w:rPr>
      </w:pPr>
      <w:hyperlink w:anchor="_Toc152766335" w:history="1">
        <w:r w:rsidR="00AF76E6" w:rsidRPr="00A47E10">
          <w:rPr>
            <w:rStyle w:val="Hyperlink"/>
            <w:noProof/>
            <w:lang w:val="fr-CA"/>
          </w:rPr>
          <w:t>8.2</w:t>
        </w:r>
        <w:r w:rsidR="00AF76E6">
          <w:rPr>
            <w:rFonts w:asciiTheme="minorHAnsi" w:eastAsiaTheme="minorEastAsia" w:hAnsiTheme="minorHAnsi"/>
            <w:noProof/>
            <w:lang w:eastAsia="en-CA"/>
          </w:rPr>
          <w:tab/>
        </w:r>
        <w:r w:rsidR="00AF76E6" w:rsidRPr="00A47E10">
          <w:rPr>
            <w:rStyle w:val="Hyperlink"/>
            <w:noProof/>
            <w:lang w:val="fr-CA"/>
          </w:rPr>
          <w:t>Programme de surveillance et d’essais</w:t>
        </w:r>
        <w:r w:rsidR="00AF76E6">
          <w:rPr>
            <w:noProof/>
            <w:webHidden/>
          </w:rPr>
          <w:tab/>
        </w:r>
        <w:r w:rsidR="00AF76E6">
          <w:rPr>
            <w:noProof/>
            <w:webHidden/>
          </w:rPr>
          <w:fldChar w:fldCharType="begin"/>
        </w:r>
        <w:r w:rsidR="00AF76E6">
          <w:rPr>
            <w:noProof/>
            <w:webHidden/>
          </w:rPr>
          <w:instrText xml:space="preserve"> PAGEREF _Toc152766335 \h </w:instrText>
        </w:r>
        <w:r w:rsidR="00AF76E6">
          <w:rPr>
            <w:noProof/>
            <w:webHidden/>
          </w:rPr>
        </w:r>
        <w:r w:rsidR="00AF76E6">
          <w:rPr>
            <w:noProof/>
            <w:webHidden/>
          </w:rPr>
          <w:fldChar w:fldCharType="separate"/>
        </w:r>
        <w:r w:rsidR="00AF76E6">
          <w:rPr>
            <w:noProof/>
            <w:webHidden/>
          </w:rPr>
          <w:t>30</w:t>
        </w:r>
        <w:r w:rsidR="00AF76E6">
          <w:rPr>
            <w:noProof/>
            <w:webHidden/>
          </w:rPr>
          <w:fldChar w:fldCharType="end"/>
        </w:r>
      </w:hyperlink>
    </w:p>
    <w:p w14:paraId="6796BC53" w14:textId="5C901BBE" w:rsidR="00AF76E6" w:rsidRDefault="00CB21A3">
      <w:pPr>
        <w:pStyle w:val="TOC2"/>
        <w:rPr>
          <w:rFonts w:asciiTheme="minorHAnsi" w:eastAsiaTheme="minorEastAsia" w:hAnsiTheme="minorHAnsi"/>
          <w:noProof/>
          <w:lang w:eastAsia="en-CA"/>
        </w:rPr>
      </w:pPr>
      <w:hyperlink w:anchor="_Toc152766336" w:history="1">
        <w:r w:rsidR="00AF76E6" w:rsidRPr="00A47E10">
          <w:rPr>
            <w:rStyle w:val="Hyperlink"/>
            <w:noProof/>
            <w:lang w:val="fr-CA"/>
          </w:rPr>
          <w:t>8.3</w:t>
        </w:r>
        <w:r w:rsidR="00AF76E6">
          <w:rPr>
            <w:rFonts w:asciiTheme="minorHAnsi" w:eastAsiaTheme="minorEastAsia" w:hAnsiTheme="minorHAnsi"/>
            <w:noProof/>
            <w:lang w:eastAsia="en-CA"/>
          </w:rPr>
          <w:tab/>
        </w:r>
        <w:r w:rsidR="00AF76E6" w:rsidRPr="00A47E10">
          <w:rPr>
            <w:rStyle w:val="Hyperlink"/>
            <w:noProof/>
            <w:lang w:val="fr-CA"/>
          </w:rPr>
          <w:t>Exploitation à l’intérieur des paramètres d’exploitation sûre</w:t>
        </w:r>
        <w:r w:rsidR="00AF76E6">
          <w:rPr>
            <w:noProof/>
            <w:webHidden/>
          </w:rPr>
          <w:tab/>
        </w:r>
        <w:r w:rsidR="00AF76E6">
          <w:rPr>
            <w:noProof/>
            <w:webHidden/>
          </w:rPr>
          <w:fldChar w:fldCharType="begin"/>
        </w:r>
        <w:r w:rsidR="00AF76E6">
          <w:rPr>
            <w:noProof/>
            <w:webHidden/>
          </w:rPr>
          <w:instrText xml:space="preserve"> PAGEREF _Toc152766336 \h </w:instrText>
        </w:r>
        <w:r w:rsidR="00AF76E6">
          <w:rPr>
            <w:noProof/>
            <w:webHidden/>
          </w:rPr>
        </w:r>
        <w:r w:rsidR="00AF76E6">
          <w:rPr>
            <w:noProof/>
            <w:webHidden/>
          </w:rPr>
          <w:fldChar w:fldCharType="separate"/>
        </w:r>
        <w:r w:rsidR="00AF76E6">
          <w:rPr>
            <w:noProof/>
            <w:webHidden/>
          </w:rPr>
          <w:t>30</w:t>
        </w:r>
        <w:r w:rsidR="00AF76E6">
          <w:rPr>
            <w:noProof/>
            <w:webHidden/>
          </w:rPr>
          <w:fldChar w:fldCharType="end"/>
        </w:r>
      </w:hyperlink>
    </w:p>
    <w:p w14:paraId="1CC3A02F" w14:textId="32912BB9" w:rsidR="00AF76E6" w:rsidRDefault="00CB21A3">
      <w:pPr>
        <w:pStyle w:val="TOC2"/>
        <w:rPr>
          <w:rFonts w:asciiTheme="minorHAnsi" w:eastAsiaTheme="minorEastAsia" w:hAnsiTheme="minorHAnsi"/>
          <w:noProof/>
          <w:lang w:eastAsia="en-CA"/>
        </w:rPr>
      </w:pPr>
      <w:hyperlink w:anchor="_Toc152766337" w:history="1">
        <w:r w:rsidR="00AF76E6" w:rsidRPr="00A47E10">
          <w:rPr>
            <w:rStyle w:val="Hyperlink"/>
            <w:noProof/>
            <w:lang w:val="fr-CA"/>
          </w:rPr>
          <w:t>8.4</w:t>
        </w:r>
        <w:r w:rsidR="00AF76E6">
          <w:rPr>
            <w:rFonts w:asciiTheme="minorHAnsi" w:eastAsiaTheme="minorEastAsia" w:hAnsiTheme="minorHAnsi"/>
            <w:noProof/>
            <w:lang w:eastAsia="en-CA"/>
          </w:rPr>
          <w:tab/>
        </w:r>
        <w:r w:rsidR="00AF76E6" w:rsidRPr="00A47E10">
          <w:rPr>
            <w:rStyle w:val="Hyperlink"/>
            <w:noProof/>
            <w:lang w:val="fr-CA"/>
          </w:rPr>
          <w:t>Modifications aux paramètres d’exploitation sûre</w:t>
        </w:r>
        <w:r w:rsidR="00AF76E6">
          <w:rPr>
            <w:noProof/>
            <w:webHidden/>
          </w:rPr>
          <w:tab/>
        </w:r>
        <w:r w:rsidR="00AF76E6">
          <w:rPr>
            <w:noProof/>
            <w:webHidden/>
          </w:rPr>
          <w:fldChar w:fldCharType="begin"/>
        </w:r>
        <w:r w:rsidR="00AF76E6">
          <w:rPr>
            <w:noProof/>
            <w:webHidden/>
          </w:rPr>
          <w:instrText xml:space="preserve"> PAGEREF _Toc152766337 \h </w:instrText>
        </w:r>
        <w:r w:rsidR="00AF76E6">
          <w:rPr>
            <w:noProof/>
            <w:webHidden/>
          </w:rPr>
        </w:r>
        <w:r w:rsidR="00AF76E6">
          <w:rPr>
            <w:noProof/>
            <w:webHidden/>
          </w:rPr>
          <w:fldChar w:fldCharType="separate"/>
        </w:r>
        <w:r w:rsidR="00AF76E6">
          <w:rPr>
            <w:noProof/>
            <w:webHidden/>
          </w:rPr>
          <w:t>31</w:t>
        </w:r>
        <w:r w:rsidR="00AF76E6">
          <w:rPr>
            <w:noProof/>
            <w:webHidden/>
          </w:rPr>
          <w:fldChar w:fldCharType="end"/>
        </w:r>
      </w:hyperlink>
    </w:p>
    <w:p w14:paraId="17E4F15C" w14:textId="2649D3CD" w:rsidR="00AF76E6" w:rsidRDefault="00CB21A3">
      <w:pPr>
        <w:pStyle w:val="TOC1"/>
        <w:rPr>
          <w:rFonts w:asciiTheme="minorHAnsi" w:eastAsiaTheme="minorEastAsia" w:hAnsiTheme="minorHAnsi"/>
          <w:b w:val="0"/>
          <w:lang w:eastAsia="en-CA"/>
        </w:rPr>
      </w:pPr>
      <w:hyperlink w:anchor="_Toc152766338" w:history="1">
        <w:r w:rsidR="00AF76E6" w:rsidRPr="00A47E10">
          <w:rPr>
            <w:rStyle w:val="Hyperlink"/>
            <w:lang w:val="fr-CA"/>
          </w:rPr>
          <w:t>9.</w:t>
        </w:r>
        <w:r w:rsidR="00AF76E6">
          <w:rPr>
            <w:rFonts w:asciiTheme="minorHAnsi" w:eastAsiaTheme="minorEastAsia" w:hAnsiTheme="minorHAnsi"/>
            <w:b w:val="0"/>
            <w:lang w:eastAsia="en-CA"/>
          </w:rPr>
          <w:tab/>
        </w:r>
        <w:r w:rsidR="00AF76E6" w:rsidRPr="00A47E10">
          <w:rPr>
            <w:rStyle w:val="Hyperlink"/>
            <w:lang w:val="fr-CA"/>
          </w:rPr>
          <w:t>Intervention en cas de condition irrégulière</w:t>
        </w:r>
        <w:r w:rsidR="00AF76E6">
          <w:rPr>
            <w:webHidden/>
          </w:rPr>
          <w:tab/>
        </w:r>
        <w:r w:rsidR="00AF76E6">
          <w:rPr>
            <w:webHidden/>
          </w:rPr>
          <w:fldChar w:fldCharType="begin"/>
        </w:r>
        <w:r w:rsidR="00AF76E6">
          <w:rPr>
            <w:webHidden/>
          </w:rPr>
          <w:instrText xml:space="preserve"> PAGEREF _Toc152766338 \h </w:instrText>
        </w:r>
        <w:r w:rsidR="00AF76E6">
          <w:rPr>
            <w:webHidden/>
          </w:rPr>
        </w:r>
        <w:r w:rsidR="00AF76E6">
          <w:rPr>
            <w:webHidden/>
          </w:rPr>
          <w:fldChar w:fldCharType="separate"/>
        </w:r>
        <w:r w:rsidR="00AF76E6">
          <w:rPr>
            <w:webHidden/>
          </w:rPr>
          <w:t>31</w:t>
        </w:r>
        <w:r w:rsidR="00AF76E6">
          <w:rPr>
            <w:webHidden/>
          </w:rPr>
          <w:fldChar w:fldCharType="end"/>
        </w:r>
      </w:hyperlink>
    </w:p>
    <w:p w14:paraId="450C186F" w14:textId="61B74922" w:rsidR="00AF76E6" w:rsidRDefault="00CB21A3">
      <w:pPr>
        <w:pStyle w:val="TOC2"/>
        <w:rPr>
          <w:rFonts w:asciiTheme="minorHAnsi" w:eastAsiaTheme="minorEastAsia" w:hAnsiTheme="minorHAnsi"/>
          <w:noProof/>
          <w:lang w:eastAsia="en-CA"/>
        </w:rPr>
      </w:pPr>
      <w:hyperlink w:anchor="_Toc152766339" w:history="1">
        <w:r w:rsidR="00AF76E6" w:rsidRPr="00A47E10">
          <w:rPr>
            <w:rStyle w:val="Hyperlink"/>
            <w:noProof/>
            <w:lang w:val="fr-CA"/>
          </w:rPr>
          <w:t>9.1</w:t>
        </w:r>
        <w:r w:rsidR="00AF76E6">
          <w:rPr>
            <w:rFonts w:asciiTheme="minorHAnsi" w:eastAsiaTheme="minorEastAsia" w:hAnsiTheme="minorHAnsi"/>
            <w:noProof/>
            <w:lang w:eastAsia="en-CA"/>
          </w:rPr>
          <w:tab/>
        </w:r>
        <w:r w:rsidR="00AF76E6" w:rsidRPr="00A47E10">
          <w:rPr>
            <w:rStyle w:val="Hyperlink"/>
            <w:noProof/>
            <w:lang w:val="fr-CA"/>
          </w:rPr>
          <w:t>Intervention en cas d’accident ou d’incident de fonctionnement prévu</w:t>
        </w:r>
        <w:r w:rsidR="00AF76E6">
          <w:rPr>
            <w:noProof/>
            <w:webHidden/>
          </w:rPr>
          <w:tab/>
        </w:r>
        <w:r w:rsidR="00AF76E6">
          <w:rPr>
            <w:noProof/>
            <w:webHidden/>
          </w:rPr>
          <w:fldChar w:fldCharType="begin"/>
        </w:r>
        <w:r w:rsidR="00AF76E6">
          <w:rPr>
            <w:noProof/>
            <w:webHidden/>
          </w:rPr>
          <w:instrText xml:space="preserve"> PAGEREF _Toc152766339 \h </w:instrText>
        </w:r>
        <w:r w:rsidR="00AF76E6">
          <w:rPr>
            <w:noProof/>
            <w:webHidden/>
          </w:rPr>
        </w:r>
        <w:r w:rsidR="00AF76E6">
          <w:rPr>
            <w:noProof/>
            <w:webHidden/>
          </w:rPr>
          <w:fldChar w:fldCharType="separate"/>
        </w:r>
        <w:r w:rsidR="00AF76E6">
          <w:rPr>
            <w:noProof/>
            <w:webHidden/>
          </w:rPr>
          <w:t>32</w:t>
        </w:r>
        <w:r w:rsidR="00AF76E6">
          <w:rPr>
            <w:noProof/>
            <w:webHidden/>
          </w:rPr>
          <w:fldChar w:fldCharType="end"/>
        </w:r>
      </w:hyperlink>
    </w:p>
    <w:p w14:paraId="7C123522" w14:textId="2E6B096D" w:rsidR="00AF76E6" w:rsidRDefault="00CB21A3">
      <w:pPr>
        <w:pStyle w:val="TOC2"/>
        <w:rPr>
          <w:rFonts w:asciiTheme="minorHAnsi" w:eastAsiaTheme="minorEastAsia" w:hAnsiTheme="minorHAnsi"/>
          <w:noProof/>
          <w:lang w:eastAsia="en-CA"/>
        </w:rPr>
      </w:pPr>
      <w:hyperlink w:anchor="_Toc152766340" w:history="1">
        <w:r w:rsidR="00AF76E6" w:rsidRPr="00A47E10">
          <w:rPr>
            <w:rStyle w:val="Hyperlink"/>
            <w:noProof/>
            <w:lang w:val="fr-CA"/>
          </w:rPr>
          <w:t>9.2</w:t>
        </w:r>
        <w:r w:rsidR="00AF76E6">
          <w:rPr>
            <w:rFonts w:asciiTheme="minorHAnsi" w:eastAsiaTheme="minorEastAsia" w:hAnsiTheme="minorHAnsi"/>
            <w:noProof/>
            <w:lang w:eastAsia="en-CA"/>
          </w:rPr>
          <w:tab/>
        </w:r>
        <w:r w:rsidR="00AF76E6" w:rsidRPr="00A47E10">
          <w:rPr>
            <w:rStyle w:val="Hyperlink"/>
            <w:noProof/>
            <w:lang w:val="fr-CA"/>
          </w:rPr>
          <w:t>Continuité des activités dans le contexte d’un programme d’exploitation</w:t>
        </w:r>
        <w:r w:rsidR="00AF76E6">
          <w:rPr>
            <w:noProof/>
            <w:webHidden/>
          </w:rPr>
          <w:tab/>
        </w:r>
        <w:r w:rsidR="00AF76E6">
          <w:rPr>
            <w:noProof/>
            <w:webHidden/>
          </w:rPr>
          <w:fldChar w:fldCharType="begin"/>
        </w:r>
        <w:r w:rsidR="00AF76E6">
          <w:rPr>
            <w:noProof/>
            <w:webHidden/>
          </w:rPr>
          <w:instrText xml:space="preserve"> PAGEREF _Toc152766340 \h </w:instrText>
        </w:r>
        <w:r w:rsidR="00AF76E6">
          <w:rPr>
            <w:noProof/>
            <w:webHidden/>
          </w:rPr>
        </w:r>
        <w:r w:rsidR="00AF76E6">
          <w:rPr>
            <w:noProof/>
            <w:webHidden/>
          </w:rPr>
          <w:fldChar w:fldCharType="separate"/>
        </w:r>
        <w:r w:rsidR="00AF76E6">
          <w:rPr>
            <w:noProof/>
            <w:webHidden/>
          </w:rPr>
          <w:t>33</w:t>
        </w:r>
        <w:r w:rsidR="00AF76E6">
          <w:rPr>
            <w:noProof/>
            <w:webHidden/>
          </w:rPr>
          <w:fldChar w:fldCharType="end"/>
        </w:r>
      </w:hyperlink>
    </w:p>
    <w:p w14:paraId="618D5F3F" w14:textId="541F0E12" w:rsidR="00AF76E6" w:rsidRDefault="00CB21A3">
      <w:pPr>
        <w:pStyle w:val="TOC2"/>
        <w:rPr>
          <w:rFonts w:asciiTheme="minorHAnsi" w:eastAsiaTheme="minorEastAsia" w:hAnsiTheme="minorHAnsi"/>
          <w:noProof/>
          <w:lang w:eastAsia="en-CA"/>
        </w:rPr>
      </w:pPr>
      <w:hyperlink w:anchor="_Toc152766341" w:history="1">
        <w:r w:rsidR="00AF76E6" w:rsidRPr="00A47E10">
          <w:rPr>
            <w:rStyle w:val="Hyperlink"/>
            <w:noProof/>
            <w:lang w:val="fr-CA"/>
          </w:rPr>
          <w:t>9.3</w:t>
        </w:r>
        <w:r w:rsidR="00AF76E6">
          <w:rPr>
            <w:rFonts w:asciiTheme="minorHAnsi" w:eastAsiaTheme="minorEastAsia" w:hAnsiTheme="minorHAnsi"/>
            <w:noProof/>
            <w:lang w:eastAsia="en-CA"/>
          </w:rPr>
          <w:tab/>
        </w:r>
        <w:r w:rsidR="00AF76E6" w:rsidRPr="00A47E10">
          <w:rPr>
            <w:rStyle w:val="Hyperlink"/>
            <w:noProof/>
            <w:lang w:val="fr-CA"/>
          </w:rPr>
          <w:t>Retour à l’état d’exploitation sûre</w:t>
        </w:r>
        <w:r w:rsidR="00AF76E6">
          <w:rPr>
            <w:noProof/>
            <w:webHidden/>
          </w:rPr>
          <w:tab/>
        </w:r>
        <w:r w:rsidR="00AF76E6">
          <w:rPr>
            <w:noProof/>
            <w:webHidden/>
          </w:rPr>
          <w:fldChar w:fldCharType="begin"/>
        </w:r>
        <w:r w:rsidR="00AF76E6">
          <w:rPr>
            <w:noProof/>
            <w:webHidden/>
          </w:rPr>
          <w:instrText xml:space="preserve"> PAGEREF _Toc152766341 \h </w:instrText>
        </w:r>
        <w:r w:rsidR="00AF76E6">
          <w:rPr>
            <w:noProof/>
            <w:webHidden/>
          </w:rPr>
        </w:r>
        <w:r w:rsidR="00AF76E6">
          <w:rPr>
            <w:noProof/>
            <w:webHidden/>
          </w:rPr>
          <w:fldChar w:fldCharType="separate"/>
        </w:r>
        <w:r w:rsidR="00AF76E6">
          <w:rPr>
            <w:noProof/>
            <w:webHidden/>
          </w:rPr>
          <w:t>33</w:t>
        </w:r>
        <w:r w:rsidR="00AF76E6">
          <w:rPr>
            <w:noProof/>
            <w:webHidden/>
          </w:rPr>
          <w:fldChar w:fldCharType="end"/>
        </w:r>
      </w:hyperlink>
    </w:p>
    <w:p w14:paraId="078BE482" w14:textId="7C82E91B" w:rsidR="00AF76E6" w:rsidRDefault="00CB21A3">
      <w:pPr>
        <w:pStyle w:val="TOC1"/>
        <w:rPr>
          <w:rFonts w:asciiTheme="minorHAnsi" w:eastAsiaTheme="minorEastAsia" w:hAnsiTheme="minorHAnsi"/>
          <w:b w:val="0"/>
          <w:lang w:eastAsia="en-CA"/>
        </w:rPr>
      </w:pPr>
      <w:hyperlink w:anchor="_Toc152766342" w:history="1">
        <w:r w:rsidR="00AF76E6" w:rsidRPr="00A47E10">
          <w:rPr>
            <w:rStyle w:val="Hyperlink"/>
          </w:rPr>
          <w:t>Glossaire</w:t>
        </w:r>
        <w:r w:rsidR="00AF76E6">
          <w:rPr>
            <w:webHidden/>
          </w:rPr>
          <w:tab/>
        </w:r>
        <w:r w:rsidR="00AF76E6">
          <w:rPr>
            <w:webHidden/>
          </w:rPr>
          <w:fldChar w:fldCharType="begin"/>
        </w:r>
        <w:r w:rsidR="00AF76E6">
          <w:rPr>
            <w:webHidden/>
          </w:rPr>
          <w:instrText xml:space="preserve"> PAGEREF _Toc152766342 \h </w:instrText>
        </w:r>
        <w:r w:rsidR="00AF76E6">
          <w:rPr>
            <w:webHidden/>
          </w:rPr>
        </w:r>
        <w:r w:rsidR="00AF76E6">
          <w:rPr>
            <w:webHidden/>
          </w:rPr>
          <w:fldChar w:fldCharType="separate"/>
        </w:r>
        <w:r w:rsidR="00AF76E6">
          <w:rPr>
            <w:webHidden/>
          </w:rPr>
          <w:t>35</w:t>
        </w:r>
        <w:r w:rsidR="00AF76E6">
          <w:rPr>
            <w:webHidden/>
          </w:rPr>
          <w:fldChar w:fldCharType="end"/>
        </w:r>
      </w:hyperlink>
    </w:p>
    <w:p w14:paraId="1CCA02EE" w14:textId="47638F80" w:rsidR="00AF76E6" w:rsidRDefault="00CB21A3">
      <w:pPr>
        <w:pStyle w:val="TOC1"/>
        <w:rPr>
          <w:rFonts w:asciiTheme="minorHAnsi" w:eastAsiaTheme="minorEastAsia" w:hAnsiTheme="minorHAnsi"/>
          <w:b w:val="0"/>
          <w:lang w:eastAsia="en-CA"/>
        </w:rPr>
      </w:pPr>
      <w:hyperlink w:anchor="_Toc152766343" w:history="1">
        <w:r w:rsidR="00AF76E6" w:rsidRPr="00A47E10">
          <w:rPr>
            <w:rStyle w:val="Hyperlink"/>
          </w:rPr>
          <w:t>Références</w:t>
        </w:r>
        <w:r w:rsidR="00AF76E6">
          <w:rPr>
            <w:webHidden/>
          </w:rPr>
          <w:tab/>
        </w:r>
        <w:r w:rsidR="00AF76E6">
          <w:rPr>
            <w:webHidden/>
          </w:rPr>
          <w:fldChar w:fldCharType="begin"/>
        </w:r>
        <w:r w:rsidR="00AF76E6">
          <w:rPr>
            <w:webHidden/>
          </w:rPr>
          <w:instrText xml:space="preserve"> PAGEREF _Toc152766343 \h </w:instrText>
        </w:r>
        <w:r w:rsidR="00AF76E6">
          <w:rPr>
            <w:webHidden/>
          </w:rPr>
        </w:r>
        <w:r w:rsidR="00AF76E6">
          <w:rPr>
            <w:webHidden/>
          </w:rPr>
          <w:fldChar w:fldCharType="separate"/>
        </w:r>
        <w:r w:rsidR="00AF76E6">
          <w:rPr>
            <w:webHidden/>
          </w:rPr>
          <w:t>37</w:t>
        </w:r>
        <w:r w:rsidR="00AF76E6">
          <w:rPr>
            <w:webHidden/>
          </w:rPr>
          <w:fldChar w:fldCharType="end"/>
        </w:r>
      </w:hyperlink>
    </w:p>
    <w:p w14:paraId="0CDF24AE" w14:textId="1CA64B75" w:rsidR="00AF76E6" w:rsidRDefault="00CB21A3">
      <w:pPr>
        <w:pStyle w:val="TOC1"/>
        <w:rPr>
          <w:rFonts w:asciiTheme="minorHAnsi" w:eastAsiaTheme="minorEastAsia" w:hAnsiTheme="minorHAnsi"/>
          <w:b w:val="0"/>
          <w:lang w:eastAsia="en-CA"/>
        </w:rPr>
      </w:pPr>
      <w:hyperlink w:anchor="_Toc152766344" w:history="1">
        <w:r w:rsidR="00AF76E6" w:rsidRPr="00A47E10">
          <w:rPr>
            <w:rStyle w:val="Hyperlink"/>
          </w:rPr>
          <w:t>Renseignements supplémentaires</w:t>
        </w:r>
        <w:r w:rsidR="00AF76E6">
          <w:rPr>
            <w:webHidden/>
          </w:rPr>
          <w:tab/>
        </w:r>
        <w:r w:rsidR="00AF76E6">
          <w:rPr>
            <w:webHidden/>
          </w:rPr>
          <w:fldChar w:fldCharType="begin"/>
        </w:r>
        <w:r w:rsidR="00AF76E6">
          <w:rPr>
            <w:webHidden/>
          </w:rPr>
          <w:instrText xml:space="preserve"> PAGEREF _Toc152766344 \h </w:instrText>
        </w:r>
        <w:r w:rsidR="00AF76E6">
          <w:rPr>
            <w:webHidden/>
          </w:rPr>
        </w:r>
        <w:r w:rsidR="00AF76E6">
          <w:rPr>
            <w:webHidden/>
          </w:rPr>
          <w:fldChar w:fldCharType="separate"/>
        </w:r>
        <w:r w:rsidR="00AF76E6">
          <w:rPr>
            <w:webHidden/>
          </w:rPr>
          <w:t>39</w:t>
        </w:r>
        <w:r w:rsidR="00AF76E6">
          <w:rPr>
            <w:webHidden/>
          </w:rPr>
          <w:fldChar w:fldCharType="end"/>
        </w:r>
      </w:hyperlink>
    </w:p>
    <w:p w14:paraId="3AC7EC63" w14:textId="678ECDDF" w:rsidR="00A52E2A" w:rsidRDefault="00A52E2A" w:rsidP="00A52E2A">
      <w:r>
        <w:rPr>
          <w:b/>
          <w:noProof/>
        </w:rPr>
        <w:fldChar w:fldCharType="end"/>
      </w:r>
    </w:p>
    <w:p w14:paraId="22C47566" w14:textId="77777777" w:rsidR="00A52E2A" w:rsidRDefault="00A52E2A" w:rsidP="00A52E2A">
      <w:pPr>
        <w:sectPr w:rsidR="00A52E2A">
          <w:headerReference w:type="even" r:id="rId33"/>
          <w:headerReference w:type="default" r:id="rId34"/>
          <w:footerReference w:type="default" r:id="rId35"/>
          <w:headerReference w:type="first" r:id="rId36"/>
          <w:pgSz w:w="12240" w:h="15840"/>
          <w:pgMar w:top="1440" w:right="1440" w:bottom="1440" w:left="1440" w:header="720" w:footer="720" w:gutter="0"/>
          <w:cols w:space="720"/>
          <w:docGrid w:linePitch="360"/>
        </w:sectPr>
      </w:pPr>
    </w:p>
    <w:p w14:paraId="65D87EF4" w14:textId="7AF566C2" w:rsidR="00A52E2A" w:rsidRPr="00655F9B" w:rsidRDefault="00B16FAF" w:rsidP="00113A85">
      <w:pPr>
        <w:pStyle w:val="MainPageHeadingsNOTOC"/>
      </w:pPr>
      <w:r w:rsidRPr="00B16FAF">
        <w:t>Programmes d’exploitation des installations dotées de réacteurs</w:t>
      </w:r>
    </w:p>
    <w:p w14:paraId="3D8B399F" w14:textId="77777777" w:rsidR="00A52E2A" w:rsidRDefault="00A52E2A" w:rsidP="00113A85">
      <w:pPr>
        <w:pStyle w:val="Heading2"/>
      </w:pPr>
      <w:bookmarkStart w:id="0" w:name="_Toc152766280"/>
      <w:r>
        <w:t>Introduction</w:t>
      </w:r>
      <w:bookmarkEnd w:id="0"/>
    </w:p>
    <w:p w14:paraId="212E6094" w14:textId="77777777" w:rsidR="00A52E2A" w:rsidRPr="001F6080" w:rsidRDefault="00A52E2A" w:rsidP="00113A85">
      <w:pPr>
        <w:pStyle w:val="Heading3"/>
      </w:pPr>
      <w:bookmarkStart w:id="1" w:name="_Toc152766281"/>
      <w:r>
        <w:t>Objet</w:t>
      </w:r>
      <w:bookmarkEnd w:id="1"/>
    </w:p>
    <w:p w14:paraId="08EEB067" w14:textId="53B4485D" w:rsidR="00E96362" w:rsidRPr="00223C6B" w:rsidRDefault="00E96362" w:rsidP="00E96362">
      <w:pPr>
        <w:pStyle w:val="BodyText"/>
        <w:rPr>
          <w:lang w:val="fr-CA"/>
        </w:rPr>
      </w:pPr>
      <w:r w:rsidRPr="00223C6B">
        <w:rPr>
          <w:lang w:val="fr-CA"/>
        </w:rPr>
        <w:t xml:space="preserve">Ce document d’application de la réglementation </w:t>
      </w:r>
      <w:r>
        <w:rPr>
          <w:lang w:val="fr-CA"/>
        </w:rPr>
        <w:t>précise</w:t>
      </w:r>
      <w:r w:rsidRPr="00223C6B">
        <w:rPr>
          <w:lang w:val="fr-CA"/>
        </w:rPr>
        <w:t xml:space="preserve"> les exigences relatives à l’élaboration et à la mise en œuvre de programmes d’exploitation d’une installation dotée de réacteurs (centrale nucléaire, conception de réacteur avancé et petit réacteur modulaire) et fournit des orientations à ce sujet.</w:t>
      </w:r>
    </w:p>
    <w:p w14:paraId="47F2167D" w14:textId="77777777" w:rsidR="00E96362" w:rsidRPr="00223C6B" w:rsidRDefault="00E96362" w:rsidP="00E96362">
      <w:pPr>
        <w:pStyle w:val="BodyText"/>
        <w:rPr>
          <w:lang w:val="fr-CA"/>
        </w:rPr>
      </w:pPr>
      <w:r w:rsidRPr="00223C6B">
        <w:rPr>
          <w:lang w:val="fr-CA"/>
        </w:rPr>
        <w:t xml:space="preserve">Ce document sera utilisé par les titulaires de permis pour préparer, mettre en œuvre et </w:t>
      </w:r>
      <w:r>
        <w:rPr>
          <w:lang w:val="fr-CA"/>
        </w:rPr>
        <w:t>tenir à jour</w:t>
      </w:r>
      <w:r w:rsidRPr="00223C6B">
        <w:rPr>
          <w:lang w:val="fr-CA"/>
        </w:rPr>
        <w:t xml:space="preserve"> un programme d’exploitation d’une installation dotée de réacteurs. </w:t>
      </w:r>
    </w:p>
    <w:p w14:paraId="13847EBE" w14:textId="77777777" w:rsidR="00A52E2A" w:rsidRDefault="00A52E2A" w:rsidP="00113A85">
      <w:pPr>
        <w:pStyle w:val="Heading3"/>
      </w:pPr>
      <w:bookmarkStart w:id="2" w:name="_Toc152766282"/>
      <w:r>
        <w:t>Portée</w:t>
      </w:r>
      <w:bookmarkEnd w:id="2"/>
    </w:p>
    <w:p w14:paraId="4ECDF67C" w14:textId="7FBDDF17" w:rsidR="00E96362" w:rsidRPr="00683937" w:rsidRDefault="00E96362" w:rsidP="00E96362">
      <w:pPr>
        <w:pStyle w:val="BodyText"/>
        <w:rPr>
          <w:lang w:val="fr-CA"/>
        </w:rPr>
      </w:pPr>
      <w:bookmarkStart w:id="3" w:name="_Hlk121919845"/>
      <w:r w:rsidRPr="00223C6B">
        <w:rPr>
          <w:lang w:val="fr-CA"/>
        </w:rPr>
        <w:t xml:space="preserve">Ce </w:t>
      </w:r>
      <w:r w:rsidR="00C0133E">
        <w:rPr>
          <w:lang w:val="fr-CA"/>
        </w:rPr>
        <w:t>document</w:t>
      </w:r>
      <w:r w:rsidRPr="00223C6B">
        <w:rPr>
          <w:lang w:val="fr-CA"/>
        </w:rPr>
        <w:t xml:space="preserve"> repose sur l’expérience d’exploitation (OPEX) et </w:t>
      </w:r>
      <w:r>
        <w:rPr>
          <w:lang w:val="fr-CA"/>
        </w:rPr>
        <w:t>l</w:t>
      </w:r>
      <w:r w:rsidRPr="00223C6B">
        <w:rPr>
          <w:lang w:val="fr-CA"/>
        </w:rPr>
        <w:t xml:space="preserve">es pratiques </w:t>
      </w:r>
      <w:r w:rsidRPr="00683937">
        <w:rPr>
          <w:lang w:val="fr-CA"/>
        </w:rPr>
        <w:t xml:space="preserve">exemplaires issues du contexte des centrales nucléaires refroidies à l’eau. Cette information sera mise à jour à mesure que de nouvelles données seront obtenues des conceptions de réacteur avancé et des petits réacteurs modulaires. Les promoteurs, les demandeurs et les titulaires de permis devraient appliquer l’information et les concepts présentés dans ce </w:t>
      </w:r>
      <w:r>
        <w:rPr>
          <w:lang w:val="fr-CA"/>
        </w:rPr>
        <w:t>REGDOC</w:t>
      </w:r>
      <w:r w:rsidRPr="00683937">
        <w:rPr>
          <w:lang w:val="fr-CA"/>
        </w:rPr>
        <w:t xml:space="preserve"> dans la mesure du possible et de la façon qui convient le mieux à d’autres conceptions, notamment les conceptions de réacteur avancé et les petits réacteurs modulaires.</w:t>
      </w:r>
    </w:p>
    <w:bookmarkEnd w:id="3"/>
    <w:p w14:paraId="4E75DC9F" w14:textId="5E9B57C3" w:rsidR="00E96362" w:rsidRPr="00683937" w:rsidRDefault="00E96362" w:rsidP="00E96362">
      <w:pPr>
        <w:pStyle w:val="BodyText"/>
        <w:rPr>
          <w:lang w:val="fr-CA"/>
        </w:rPr>
      </w:pPr>
      <w:r w:rsidRPr="00683937">
        <w:rPr>
          <w:lang w:val="fr-CA"/>
        </w:rPr>
        <w:t xml:space="preserve">Compte tenu de la vaste gamme d’installations dotées de réacteurs – spécialement au chapitre des conceptions de réacteur avancé et des petits réacteurs modulaires – et du fait que les profils de risque des installations dotées de réacteurs varient considérablement en fonction des caractéristiques de l’activité ou de l’installation, le titulaire de permis peut proposer d’appliquer les exigences et les orientations d’une manière graduelle </w:t>
      </w:r>
      <w:r>
        <w:rPr>
          <w:lang w:val="fr-CA"/>
        </w:rPr>
        <w:t>qui tient</w:t>
      </w:r>
      <w:r w:rsidRPr="00683937">
        <w:rPr>
          <w:lang w:val="fr-CA"/>
        </w:rPr>
        <w:t xml:space="preserve"> compte du risque </w:t>
      </w:r>
      <w:r>
        <w:rPr>
          <w:lang w:val="fr-CA"/>
        </w:rPr>
        <w:t xml:space="preserve">et </w:t>
      </w:r>
      <w:r w:rsidRPr="00683937">
        <w:rPr>
          <w:lang w:val="fr-CA"/>
        </w:rPr>
        <w:t xml:space="preserve">qui cadrera avec le niveau de risque de l’activité réglementée ou peut proposer des </w:t>
      </w:r>
      <w:r>
        <w:rPr>
          <w:lang w:val="fr-CA"/>
        </w:rPr>
        <w:t>solutions</w:t>
      </w:r>
      <w:r w:rsidRPr="00683937">
        <w:rPr>
          <w:lang w:val="fr-CA"/>
        </w:rPr>
        <w:t xml:space="preserve"> de rechange pour satisfaire aux exigences réglementaires, ainsi que le décrivent le REGDOC</w:t>
      </w:r>
      <w:r w:rsidRPr="00683937">
        <w:rPr>
          <w:lang w:val="fr-CA"/>
        </w:rPr>
        <w:noBreakHyphen/>
        <w:t xml:space="preserve">1.1.5, </w:t>
      </w:r>
      <w:r w:rsidRPr="00683937">
        <w:rPr>
          <w:i/>
          <w:iCs/>
          <w:lang w:val="fr-CA"/>
        </w:rPr>
        <w:t>Renseignements supplémentaires pour les promoteurs de petits réacteurs modulaires</w:t>
      </w:r>
      <w:r w:rsidRPr="00683937">
        <w:rPr>
          <w:lang w:val="fr-CA"/>
        </w:rPr>
        <w:t> [1] et le REGDOC</w:t>
      </w:r>
      <w:r w:rsidRPr="00683937">
        <w:rPr>
          <w:lang w:val="fr-CA"/>
        </w:rPr>
        <w:noBreakHyphen/>
        <w:t xml:space="preserve">3.5.3, </w:t>
      </w:r>
      <w:r w:rsidRPr="00683937">
        <w:rPr>
          <w:i/>
          <w:iCs/>
          <w:lang w:val="fr-CA"/>
        </w:rPr>
        <w:t>Principes fondamentaux de réglementation</w:t>
      </w:r>
      <w:r w:rsidRPr="00683937">
        <w:rPr>
          <w:lang w:val="fr-CA"/>
        </w:rPr>
        <w:t xml:space="preserve"> [2]. L’information présentée dans </w:t>
      </w:r>
      <w:r>
        <w:rPr>
          <w:lang w:val="fr-CA"/>
        </w:rPr>
        <w:t>le présent</w:t>
      </w:r>
      <w:r w:rsidRPr="00683937">
        <w:rPr>
          <w:lang w:val="fr-CA"/>
        </w:rPr>
        <w:t xml:space="preserve"> </w:t>
      </w:r>
      <w:r w:rsidR="00C0133E">
        <w:rPr>
          <w:lang w:val="fr-CA"/>
        </w:rPr>
        <w:t>document</w:t>
      </w:r>
      <w:r w:rsidRPr="00683937">
        <w:rPr>
          <w:lang w:val="fr-CA"/>
        </w:rPr>
        <w:t xml:space="preserve"> peut également être appliquée à d’autres activités ou étapes du processus d</w:t>
      </w:r>
      <w:r>
        <w:rPr>
          <w:lang w:val="fr-CA"/>
        </w:rPr>
        <w:t>’autorisation</w:t>
      </w:r>
      <w:r w:rsidRPr="00683937">
        <w:rPr>
          <w:lang w:val="fr-CA"/>
        </w:rPr>
        <w:t xml:space="preserve"> (par exemple, la mise en service sans combustible en vertu d’un permis de construction</w:t>
      </w:r>
      <w:r>
        <w:rPr>
          <w:lang w:val="fr-CA"/>
        </w:rPr>
        <w:t>,</w:t>
      </w:r>
      <w:r w:rsidRPr="00683937">
        <w:rPr>
          <w:lang w:val="fr-CA"/>
        </w:rPr>
        <w:t xml:space="preserve"> ou </w:t>
      </w:r>
      <w:r w:rsidR="00C0133E">
        <w:rPr>
          <w:lang w:val="fr-CA"/>
        </w:rPr>
        <w:t>d</w:t>
      </w:r>
      <w:r w:rsidRPr="00683937">
        <w:rPr>
          <w:lang w:val="fr-CA"/>
        </w:rPr>
        <w:t>e déclassement).</w:t>
      </w:r>
    </w:p>
    <w:p w14:paraId="1A9D96FB" w14:textId="77777777" w:rsidR="00E96362" w:rsidRPr="00683937" w:rsidRDefault="00E96362" w:rsidP="00E96362">
      <w:pPr>
        <w:pStyle w:val="BodyText"/>
        <w:rPr>
          <w:lang w:val="fr-CA"/>
        </w:rPr>
      </w:pPr>
      <w:r w:rsidRPr="00683937">
        <w:rPr>
          <w:lang w:val="fr-CA"/>
        </w:rPr>
        <w:t xml:space="preserve">Les promoteurs, les demandeurs et les titulaires de permis peuvent proposer d’autres façons de respecter une exigence. Toute autre </w:t>
      </w:r>
      <w:r>
        <w:rPr>
          <w:lang w:val="fr-CA"/>
        </w:rPr>
        <w:t>solution de rechange</w:t>
      </w:r>
      <w:r w:rsidRPr="00683937">
        <w:rPr>
          <w:lang w:val="fr-CA"/>
        </w:rPr>
        <w:t xml:space="preserve"> proposée (y compris l’utilisation d’autres codes et normes) devrait tenir compte adéquatement de la complexité et des dangers des activités proposées, et le demandeur doit démontrer, en fournissant des renseignements à l’appui, que l’approche proposée lui permet d’atteindre </w:t>
      </w:r>
      <w:r>
        <w:rPr>
          <w:lang w:val="fr-CA"/>
        </w:rPr>
        <w:t>un</w:t>
      </w:r>
      <w:r w:rsidRPr="00683937">
        <w:rPr>
          <w:lang w:val="fr-CA"/>
        </w:rPr>
        <w:t xml:space="preserve"> niveau de sûreté </w:t>
      </w:r>
      <w:r>
        <w:rPr>
          <w:lang w:val="fr-CA"/>
        </w:rPr>
        <w:t>équivalent</w:t>
      </w:r>
      <w:r w:rsidRPr="00683937">
        <w:rPr>
          <w:lang w:val="fr-CA"/>
        </w:rPr>
        <w:t>.</w:t>
      </w:r>
    </w:p>
    <w:p w14:paraId="2AB5DF25" w14:textId="37FBE30A" w:rsidR="00E96362" w:rsidRPr="00223C6B" w:rsidRDefault="00E96362" w:rsidP="00E96362">
      <w:pPr>
        <w:pStyle w:val="BodyText"/>
        <w:rPr>
          <w:lang w:val="fr-CA"/>
        </w:rPr>
      </w:pPr>
      <w:r w:rsidRPr="00683937">
        <w:rPr>
          <w:lang w:val="fr-CA"/>
        </w:rPr>
        <w:t xml:space="preserve">Ce </w:t>
      </w:r>
      <w:r w:rsidR="00C0133E">
        <w:rPr>
          <w:lang w:val="fr-CA"/>
        </w:rPr>
        <w:t>document</w:t>
      </w:r>
      <w:r w:rsidRPr="00683937">
        <w:rPr>
          <w:lang w:val="fr-CA"/>
        </w:rPr>
        <w:t xml:space="preserve"> est structuré selon le cadre des domaines de sûreté et de réglementation (DSR) de la CCSN. Le titulaire de permis n’est pas tenu de suivre cette structure et peut choisir d’organiser l’information d’une autre façon.</w:t>
      </w:r>
    </w:p>
    <w:p w14:paraId="1E3E5E9E" w14:textId="77777777" w:rsidR="00E96362" w:rsidRPr="00223C6B" w:rsidRDefault="00E96362" w:rsidP="00E96362">
      <w:pPr>
        <w:pStyle w:val="BodyText"/>
        <w:rPr>
          <w:lang w:val="fr-CA"/>
        </w:rPr>
      </w:pPr>
      <w:bookmarkStart w:id="4" w:name="_Hlk126158495"/>
      <w:r w:rsidRPr="00223C6B">
        <w:rPr>
          <w:b/>
          <w:bCs/>
          <w:lang w:val="fr-CA"/>
        </w:rPr>
        <w:t>Remarque :</w:t>
      </w:r>
      <w:r w:rsidRPr="00223C6B">
        <w:rPr>
          <w:lang w:val="fr-CA"/>
        </w:rPr>
        <w:t xml:space="preserve"> Lorsque le texte fait référence aux « titulaires de permis », les promoteurs et les demandeurs peuvent se servir de l’information fournie pour élaborer leur programme d’exploitation pour l’installation dotée de réacteurs qu’ils proposent.</w:t>
      </w:r>
    </w:p>
    <w:p w14:paraId="3E280D76" w14:textId="77777777" w:rsidR="00A52E2A" w:rsidRDefault="00A52E2A" w:rsidP="00113A85">
      <w:pPr>
        <w:pStyle w:val="Heading3"/>
      </w:pPr>
      <w:bookmarkStart w:id="5" w:name="_Toc152766283"/>
      <w:bookmarkEnd w:id="4"/>
      <w:r>
        <w:t>Législation pertinente</w:t>
      </w:r>
      <w:bookmarkEnd w:id="5"/>
    </w:p>
    <w:p w14:paraId="2199471A" w14:textId="64EC2302" w:rsidR="00A52E2A" w:rsidRDefault="00A52E2A" w:rsidP="002843A3">
      <w:pPr>
        <w:pStyle w:val="BodyText"/>
        <w:keepNext/>
        <w:spacing w:after="0"/>
        <w:rPr>
          <w:lang w:val="fr-CA"/>
        </w:rPr>
      </w:pPr>
      <w:r w:rsidRPr="009E1189">
        <w:rPr>
          <w:lang w:val="fr-CA"/>
        </w:rPr>
        <w:t xml:space="preserve">Les dispositions législatives de la </w:t>
      </w:r>
      <w:hyperlink r:id="rId37" w:history="1">
        <w:r w:rsidRPr="00284861">
          <w:rPr>
            <w:rStyle w:val="Hyperlink"/>
            <w:i/>
            <w:lang w:val="fr-FR"/>
          </w:rPr>
          <w:t>Loi sur la sûreté et la réglementation nucléaires</w:t>
        </w:r>
      </w:hyperlink>
      <w:r w:rsidRPr="009E1189">
        <w:rPr>
          <w:lang w:val="fr-CA"/>
        </w:rPr>
        <w:t xml:space="preserve"> (LSRN) et des règlements pris en vertu de celle-ci qui </w:t>
      </w:r>
      <w:r w:rsidR="00045E9B">
        <w:rPr>
          <w:lang w:val="fr-CA"/>
        </w:rPr>
        <w:t>s’appliquent</w:t>
      </w:r>
      <w:r w:rsidRPr="009E1189">
        <w:rPr>
          <w:lang w:val="fr-CA"/>
        </w:rPr>
        <w:t xml:space="preserve"> au présent document sont les suivants :</w:t>
      </w:r>
    </w:p>
    <w:p w14:paraId="1049851E" w14:textId="423187AC" w:rsidR="00012194" w:rsidRPr="00012194" w:rsidRDefault="00012194" w:rsidP="00012194">
      <w:pPr>
        <w:pStyle w:val="BulletList"/>
        <w:numPr>
          <w:ilvl w:val="0"/>
          <w:numId w:val="8"/>
        </w:numPr>
        <w:ind w:left="1080"/>
        <w:rPr>
          <w:lang w:val="fr-CA"/>
        </w:rPr>
      </w:pPr>
      <w:r w:rsidRPr="00012194">
        <w:rPr>
          <w:lang w:val="fr-CA"/>
        </w:rPr>
        <w:t>l</w:t>
      </w:r>
      <w:r w:rsidR="00D421B0">
        <w:rPr>
          <w:lang w:val="fr-CA"/>
        </w:rPr>
        <w:t xml:space="preserve">es </w:t>
      </w:r>
      <w:r w:rsidR="00F12D34">
        <w:rPr>
          <w:lang w:val="fr-CA"/>
        </w:rPr>
        <w:t>alinéa</w:t>
      </w:r>
      <w:r w:rsidR="00D421B0">
        <w:rPr>
          <w:lang w:val="fr-CA"/>
        </w:rPr>
        <w:t>s </w:t>
      </w:r>
      <w:r w:rsidR="00D421B0" w:rsidRPr="00D421B0">
        <w:rPr>
          <w:lang w:val="fr-CA"/>
        </w:rPr>
        <w:t>24(4)a</w:t>
      </w:r>
      <w:r w:rsidR="00D421B0">
        <w:rPr>
          <w:lang w:val="fr-CA"/>
        </w:rPr>
        <w:t>)</w:t>
      </w:r>
      <w:r w:rsidR="00D421B0" w:rsidRPr="00D421B0">
        <w:rPr>
          <w:lang w:val="fr-CA"/>
        </w:rPr>
        <w:t xml:space="preserve"> </w:t>
      </w:r>
      <w:r w:rsidR="00D421B0">
        <w:rPr>
          <w:lang w:val="fr-CA"/>
        </w:rPr>
        <w:t>et</w:t>
      </w:r>
      <w:r w:rsidR="00D421B0" w:rsidRPr="00D421B0">
        <w:rPr>
          <w:lang w:val="fr-CA"/>
        </w:rPr>
        <w:t> b</w:t>
      </w:r>
      <w:r w:rsidR="00D421B0">
        <w:rPr>
          <w:lang w:val="fr-CA"/>
        </w:rPr>
        <w:t>)</w:t>
      </w:r>
      <w:r w:rsidR="00D421B0" w:rsidRPr="00D421B0">
        <w:rPr>
          <w:lang w:val="fr-CA"/>
        </w:rPr>
        <w:t xml:space="preserve">, </w:t>
      </w:r>
      <w:r w:rsidR="00D421B0">
        <w:rPr>
          <w:lang w:val="fr-CA"/>
        </w:rPr>
        <w:t xml:space="preserve">et </w:t>
      </w:r>
      <w:r w:rsidR="00D421B0" w:rsidRPr="00D421B0">
        <w:rPr>
          <w:lang w:val="fr-CA"/>
        </w:rPr>
        <w:t>44(1)e</w:t>
      </w:r>
      <w:r w:rsidR="00D421B0">
        <w:rPr>
          <w:lang w:val="fr-CA"/>
        </w:rPr>
        <w:t>)</w:t>
      </w:r>
      <w:r w:rsidR="00D421B0" w:rsidRPr="00D421B0">
        <w:rPr>
          <w:lang w:val="fr-CA"/>
        </w:rPr>
        <w:t xml:space="preserve"> </w:t>
      </w:r>
      <w:r w:rsidR="00D421B0">
        <w:rPr>
          <w:lang w:val="fr-CA"/>
        </w:rPr>
        <w:t>et</w:t>
      </w:r>
      <w:r w:rsidR="00D421B0" w:rsidRPr="00D421B0">
        <w:rPr>
          <w:lang w:val="fr-CA"/>
        </w:rPr>
        <w:t xml:space="preserve"> o)</w:t>
      </w:r>
      <w:r w:rsidR="00D421B0">
        <w:rPr>
          <w:lang w:val="fr-CA"/>
        </w:rPr>
        <w:t xml:space="preserve"> </w:t>
      </w:r>
      <w:r w:rsidR="00045E9B">
        <w:rPr>
          <w:lang w:val="fr-CA"/>
        </w:rPr>
        <w:t>de la LSRN</w:t>
      </w:r>
    </w:p>
    <w:p w14:paraId="6F848D1D" w14:textId="7C994F20" w:rsidR="00012194" w:rsidRPr="000D4383" w:rsidRDefault="00D421B0" w:rsidP="00012194">
      <w:pPr>
        <w:pStyle w:val="BulletListTopItem"/>
        <w:rPr>
          <w:lang w:val="fr-CA"/>
        </w:rPr>
      </w:pPr>
      <w:r w:rsidRPr="00012194">
        <w:rPr>
          <w:lang w:val="fr-CA"/>
        </w:rPr>
        <w:t>l</w:t>
      </w:r>
      <w:r>
        <w:rPr>
          <w:lang w:val="fr-CA"/>
        </w:rPr>
        <w:t>es alinéas </w:t>
      </w:r>
      <w:r w:rsidRPr="00D421B0">
        <w:rPr>
          <w:lang w:val="fr-CA"/>
        </w:rPr>
        <w:t xml:space="preserve">12(1)e) </w:t>
      </w:r>
      <w:r>
        <w:rPr>
          <w:lang w:val="fr-CA"/>
        </w:rPr>
        <w:t>et</w:t>
      </w:r>
      <w:r w:rsidRPr="00D421B0">
        <w:rPr>
          <w:lang w:val="fr-CA"/>
        </w:rPr>
        <w:t xml:space="preserve"> 17b), </w:t>
      </w:r>
      <w:r>
        <w:rPr>
          <w:lang w:val="fr-CA"/>
        </w:rPr>
        <w:t>et les articles </w:t>
      </w:r>
      <w:r w:rsidRPr="00D421B0">
        <w:rPr>
          <w:lang w:val="fr-CA"/>
        </w:rPr>
        <w:t xml:space="preserve">12 </w:t>
      </w:r>
      <w:r>
        <w:rPr>
          <w:lang w:val="fr-CA"/>
        </w:rPr>
        <w:t>et</w:t>
      </w:r>
      <w:r w:rsidRPr="00D421B0">
        <w:rPr>
          <w:lang w:val="fr-CA"/>
        </w:rPr>
        <w:t xml:space="preserve"> 15 </w:t>
      </w:r>
      <w:r w:rsidR="00045E9B">
        <w:rPr>
          <w:lang w:val="fr-CA"/>
        </w:rPr>
        <w:t xml:space="preserve">du </w:t>
      </w:r>
      <w:hyperlink r:id="rId38" w:history="1">
        <w:r w:rsidR="000D4383" w:rsidRPr="000D4383">
          <w:rPr>
            <w:rStyle w:val="Hyperlink"/>
            <w:i/>
            <w:lang w:val="fr-CA"/>
          </w:rPr>
          <w:t>Règlement général sur la sûreté et la réglementation nucléaires</w:t>
        </w:r>
      </w:hyperlink>
      <w:r w:rsidR="00F12D34" w:rsidRPr="000D4383">
        <w:rPr>
          <w:lang w:val="fr-CA"/>
        </w:rPr>
        <w:t xml:space="preserve"> </w:t>
      </w:r>
    </w:p>
    <w:p w14:paraId="31A56A9E" w14:textId="6DA6E394" w:rsidR="00012194" w:rsidRPr="00975579" w:rsidRDefault="00146049" w:rsidP="00012194">
      <w:pPr>
        <w:pStyle w:val="BulletListLastItem"/>
        <w:numPr>
          <w:ilvl w:val="0"/>
          <w:numId w:val="8"/>
        </w:numPr>
        <w:ind w:left="1080"/>
        <w:rPr>
          <w:lang w:val="fr-CA"/>
        </w:rPr>
      </w:pPr>
      <w:r w:rsidRPr="00012194">
        <w:rPr>
          <w:lang w:val="fr-CA"/>
        </w:rPr>
        <w:t>l</w:t>
      </w:r>
      <w:r>
        <w:rPr>
          <w:lang w:val="fr-CA"/>
        </w:rPr>
        <w:t>es alinéas </w:t>
      </w:r>
      <w:r w:rsidRPr="003F6D61">
        <w:rPr>
          <w:lang w:val="fr-CA"/>
        </w:rPr>
        <w:t xml:space="preserve">6d) </w:t>
      </w:r>
      <w:r>
        <w:rPr>
          <w:lang w:val="fr-CA"/>
        </w:rPr>
        <w:t>et</w:t>
      </w:r>
      <w:r w:rsidRPr="003F6D61">
        <w:rPr>
          <w:lang w:val="fr-CA"/>
        </w:rPr>
        <w:t xml:space="preserve"> h), </w:t>
      </w:r>
      <w:r>
        <w:rPr>
          <w:lang w:val="fr-CA"/>
        </w:rPr>
        <w:t>et</w:t>
      </w:r>
      <w:r w:rsidRPr="003F6D61">
        <w:rPr>
          <w:lang w:val="fr-CA"/>
        </w:rPr>
        <w:t xml:space="preserve"> 14(2)a) </w:t>
      </w:r>
      <w:r>
        <w:rPr>
          <w:lang w:val="fr-CA"/>
        </w:rPr>
        <w:t>et</w:t>
      </w:r>
      <w:r w:rsidRPr="003F6D61">
        <w:rPr>
          <w:lang w:val="fr-CA"/>
        </w:rPr>
        <w:t> c)</w:t>
      </w:r>
      <w:r>
        <w:rPr>
          <w:lang w:val="fr-CA"/>
        </w:rPr>
        <w:t xml:space="preserve"> </w:t>
      </w:r>
      <w:r w:rsidRPr="00BE04D0">
        <w:rPr>
          <w:lang w:val="fr-CA"/>
        </w:rPr>
        <w:t xml:space="preserve">du </w:t>
      </w:r>
      <w:hyperlink r:id="rId39" w:history="1">
        <w:r w:rsidRPr="00BE04D0">
          <w:rPr>
            <w:rStyle w:val="Hyperlink"/>
            <w:i/>
            <w:lang w:val="fr-CA"/>
          </w:rPr>
          <w:t>Règlement sur les installations nucléaires de catégorie I</w:t>
        </w:r>
      </w:hyperlink>
    </w:p>
    <w:p w14:paraId="10B89B2B" w14:textId="77777777" w:rsidR="00012194" w:rsidRPr="00284861" w:rsidRDefault="00012194" w:rsidP="00012194">
      <w:pPr>
        <w:pStyle w:val="Heading3"/>
        <w:rPr>
          <w:lang w:val="fr-CA"/>
        </w:rPr>
      </w:pPr>
      <w:bookmarkStart w:id="6" w:name="_Toc152766284"/>
      <w:r w:rsidRPr="00284861">
        <w:rPr>
          <w:lang w:val="fr-CA"/>
        </w:rPr>
        <w:t>Normes nationales et internationales</w:t>
      </w:r>
      <w:bookmarkEnd w:id="6"/>
    </w:p>
    <w:p w14:paraId="15256E1B" w14:textId="77777777" w:rsidR="00012194" w:rsidRPr="00CA5AC1" w:rsidRDefault="00CA5AC1" w:rsidP="00012194">
      <w:pPr>
        <w:pStyle w:val="BodyText"/>
        <w:rPr>
          <w:lang w:val="fr-CA"/>
        </w:rPr>
      </w:pPr>
      <w:r w:rsidRPr="00E96362">
        <w:rPr>
          <w:lang w:val="fr-CA"/>
        </w:rPr>
        <w:t>Les principes et les éléments clés utilisés dans l’élaboration du présent document sont conformes aux normes nationales et internationales</w:t>
      </w:r>
      <w:r w:rsidR="00012194" w:rsidRPr="00E96362">
        <w:rPr>
          <w:lang w:val="fr-CA"/>
        </w:rPr>
        <w:t>.</w:t>
      </w:r>
    </w:p>
    <w:p w14:paraId="08EF906C" w14:textId="77777777" w:rsidR="00E96362" w:rsidRPr="00223C6B" w:rsidRDefault="00E96362" w:rsidP="00E96362">
      <w:pPr>
        <w:pStyle w:val="BodyText"/>
        <w:keepNext/>
        <w:spacing w:after="0"/>
        <w:rPr>
          <w:lang w:val="fr-CA"/>
        </w:rPr>
      </w:pPr>
      <w:bookmarkStart w:id="7" w:name="_Toc126324257"/>
      <w:r w:rsidRPr="00223C6B">
        <w:rPr>
          <w:lang w:val="fr-CA"/>
        </w:rPr>
        <w:t>Le document est également conforme aux publications suivantes :</w:t>
      </w:r>
    </w:p>
    <w:p w14:paraId="69842752" w14:textId="77777777" w:rsidR="00E96362" w:rsidRPr="00223C6B" w:rsidRDefault="00E96362" w:rsidP="00E96362">
      <w:pPr>
        <w:pStyle w:val="BulletList"/>
        <w:keepNext/>
        <w:numPr>
          <w:ilvl w:val="0"/>
          <w:numId w:val="8"/>
        </w:numPr>
        <w:ind w:left="1077" w:hanging="357"/>
        <w:rPr>
          <w:lang w:val="fr-CA"/>
        </w:rPr>
      </w:pPr>
      <w:r>
        <w:rPr>
          <w:lang w:val="fr-CA"/>
        </w:rPr>
        <w:t>l</w:t>
      </w:r>
      <w:r w:rsidRPr="00223C6B">
        <w:rPr>
          <w:lang w:val="fr-CA"/>
        </w:rPr>
        <w:t>es principes établis par l’Agence internationale de l’énergie atomique (AIEA) dans le document SSR</w:t>
      </w:r>
      <w:r w:rsidRPr="00223C6B">
        <w:rPr>
          <w:lang w:val="fr-CA"/>
        </w:rPr>
        <w:noBreakHyphen/>
        <w:t xml:space="preserve">2/2 (Rev 1), </w:t>
      </w:r>
      <w:r w:rsidRPr="00223C6B">
        <w:rPr>
          <w:i/>
          <w:iCs/>
          <w:lang w:val="fr-CA"/>
        </w:rPr>
        <w:t>Sûreté des centrales nucléaires : mise en service et exploitation</w:t>
      </w:r>
      <w:r w:rsidRPr="00223C6B">
        <w:rPr>
          <w:lang w:val="fr-CA"/>
        </w:rPr>
        <w:t> [3] et les guid</w:t>
      </w:r>
      <w:r w:rsidRPr="00683937">
        <w:rPr>
          <w:lang w:val="fr-CA"/>
        </w:rPr>
        <w:t xml:space="preserve">es connexes de l’AIEA; à noter que la portée du présent </w:t>
      </w:r>
      <w:r>
        <w:rPr>
          <w:lang w:val="fr-CA"/>
        </w:rPr>
        <w:t>REGDOC</w:t>
      </w:r>
      <w:r w:rsidRPr="00223C6B">
        <w:rPr>
          <w:lang w:val="fr-CA"/>
        </w:rPr>
        <w:t xml:space="preserve"> va au-delà du document SSR</w:t>
      </w:r>
      <w:r w:rsidRPr="00223C6B">
        <w:rPr>
          <w:lang w:val="fr-CA"/>
        </w:rPr>
        <w:noBreakHyphen/>
        <w:t>2/2 (Rev 1) pour tenir compte des pratiques exemplaires canadiennes</w:t>
      </w:r>
    </w:p>
    <w:p w14:paraId="0DE55573" w14:textId="77777777" w:rsidR="00E96362" w:rsidRPr="00223C6B" w:rsidRDefault="00E96362" w:rsidP="00E96362">
      <w:pPr>
        <w:pStyle w:val="BulletListLastItem"/>
        <w:numPr>
          <w:ilvl w:val="0"/>
          <w:numId w:val="8"/>
        </w:numPr>
        <w:ind w:left="1080"/>
        <w:rPr>
          <w:lang w:val="fr-CA"/>
        </w:rPr>
      </w:pPr>
      <w:r>
        <w:rPr>
          <w:lang w:val="fr-CA"/>
        </w:rPr>
        <w:t>l</w:t>
      </w:r>
      <w:r w:rsidRPr="00223C6B">
        <w:rPr>
          <w:lang w:val="fr-CA"/>
        </w:rPr>
        <w:t xml:space="preserve">a norme CSA N286, </w:t>
      </w:r>
      <w:r w:rsidRPr="00223C6B">
        <w:rPr>
          <w:i/>
          <w:iCs/>
          <w:lang w:val="fr-CA"/>
        </w:rPr>
        <w:t>Exigences relatives au système de gestion des installations nucléaires</w:t>
      </w:r>
      <w:r w:rsidRPr="00223C6B">
        <w:rPr>
          <w:lang w:val="fr-CA"/>
        </w:rPr>
        <w:t> [4]</w:t>
      </w:r>
    </w:p>
    <w:p w14:paraId="320BDC65" w14:textId="77777777" w:rsidR="00E96362" w:rsidRPr="00223C6B" w:rsidRDefault="00E96362" w:rsidP="00E96362">
      <w:pPr>
        <w:pStyle w:val="BodyText"/>
        <w:rPr>
          <w:lang w:val="fr-CA"/>
        </w:rPr>
      </w:pPr>
      <w:r w:rsidRPr="00223C6B">
        <w:rPr>
          <w:lang w:val="fr-CA"/>
        </w:rPr>
        <w:t xml:space="preserve">D’autres documents </w:t>
      </w:r>
      <w:r>
        <w:rPr>
          <w:lang w:val="fr-CA"/>
        </w:rPr>
        <w:t xml:space="preserve">qui </w:t>
      </w:r>
      <w:r w:rsidRPr="00223C6B">
        <w:rPr>
          <w:lang w:val="fr-CA"/>
        </w:rPr>
        <w:t>renferm</w:t>
      </w:r>
      <w:r>
        <w:rPr>
          <w:lang w:val="fr-CA"/>
        </w:rPr>
        <w:t>e</w:t>
      </w:r>
      <w:r w:rsidRPr="00223C6B">
        <w:rPr>
          <w:lang w:val="fr-CA"/>
        </w:rPr>
        <w:t xml:space="preserve">nt des renseignements pouvant être d’intérêt pour les personnes </w:t>
      </w:r>
      <w:r>
        <w:rPr>
          <w:lang w:val="fr-CA"/>
        </w:rPr>
        <w:t>que prennent</w:t>
      </w:r>
      <w:r w:rsidRPr="00223C6B">
        <w:rPr>
          <w:lang w:val="fr-CA"/>
        </w:rPr>
        <w:t xml:space="preserve"> part aux programmes d’exploitation des installations dotées de réacteurs sont énumérés dans la section « Renseignements supplémentaires » du présent document.</w:t>
      </w:r>
    </w:p>
    <w:p w14:paraId="334E3000" w14:textId="77777777" w:rsidR="00E96362" w:rsidRPr="00223C6B" w:rsidRDefault="00E96362" w:rsidP="00E96362">
      <w:pPr>
        <w:pStyle w:val="Heading2"/>
        <w:rPr>
          <w:lang w:val="fr-CA"/>
        </w:rPr>
      </w:pPr>
      <w:bookmarkStart w:id="8" w:name="_Toc140068968"/>
      <w:bookmarkStart w:id="9" w:name="_Toc140069130"/>
      <w:bookmarkStart w:id="10" w:name="_Toc140069173"/>
      <w:bookmarkStart w:id="11" w:name="_Toc152766285"/>
      <w:bookmarkEnd w:id="7"/>
      <w:r w:rsidRPr="00223C6B">
        <w:rPr>
          <w:lang w:val="fr-CA"/>
        </w:rPr>
        <w:t>Programme d’exploitation</w:t>
      </w:r>
      <w:bookmarkEnd w:id="8"/>
      <w:bookmarkEnd w:id="9"/>
      <w:bookmarkEnd w:id="10"/>
      <w:bookmarkEnd w:id="11"/>
    </w:p>
    <w:p w14:paraId="59942C64" w14:textId="77777777" w:rsidR="00E96362" w:rsidRPr="00223C6B" w:rsidRDefault="00E96362" w:rsidP="00E96362">
      <w:pPr>
        <w:pStyle w:val="BodyText"/>
        <w:rPr>
          <w:lang w:val="fr-CA"/>
        </w:rPr>
      </w:pPr>
      <w:r w:rsidRPr="00223C6B">
        <w:rPr>
          <w:lang w:val="fr-CA"/>
        </w:rPr>
        <w:t>Un programme d’exploitation se compose de politiques, de processus et de procédures qui fournissent une orientation et des renseignements relatifs à l’établissement de pratiques d’exploitation sûre au sein de l’installation nucléaire, dans toutes les conditions d’exploitation (</w:t>
      </w:r>
      <w:r>
        <w:rPr>
          <w:lang w:val="fr-CA"/>
        </w:rPr>
        <w:t>habituelles et inhabituelles</w:t>
      </w:r>
      <w:r w:rsidRPr="00223C6B">
        <w:rPr>
          <w:lang w:val="fr-CA"/>
        </w:rPr>
        <w:t>), et offre au titulaire de permis les renseignements nécessaires pour s’assurer que l’installation est exploitée conformément au fondement d’autorisation.</w:t>
      </w:r>
    </w:p>
    <w:p w14:paraId="2477E19B" w14:textId="77777777" w:rsidR="00E96362" w:rsidRPr="00223C6B" w:rsidRDefault="00E96362" w:rsidP="00E96362">
      <w:pPr>
        <w:pStyle w:val="BodyText"/>
        <w:rPr>
          <w:lang w:val="fr-CA"/>
        </w:rPr>
      </w:pPr>
      <w:r w:rsidRPr="00223C6B">
        <w:rPr>
          <w:b/>
          <w:bCs/>
          <w:lang w:val="fr-CA"/>
        </w:rPr>
        <w:t>Remarque :</w:t>
      </w:r>
      <w:r w:rsidRPr="00223C6B">
        <w:rPr>
          <w:lang w:val="fr-CA"/>
        </w:rPr>
        <w:t xml:space="preserve"> Si une exigence en particulier au sein du présent document est </w:t>
      </w:r>
      <w:r>
        <w:rPr>
          <w:lang w:val="fr-CA"/>
        </w:rPr>
        <w:t>traitée</w:t>
      </w:r>
      <w:r w:rsidRPr="00223C6B">
        <w:rPr>
          <w:lang w:val="fr-CA"/>
        </w:rPr>
        <w:t xml:space="preserve"> par l’entremise d’un autre programme (par exemple, le programme </w:t>
      </w:r>
      <w:r>
        <w:rPr>
          <w:lang w:val="fr-CA"/>
        </w:rPr>
        <w:t>sur</w:t>
      </w:r>
      <w:r w:rsidRPr="00223C6B">
        <w:rPr>
          <w:lang w:val="fr-CA"/>
        </w:rPr>
        <w:t xml:space="preserve"> la performance humaine, le programme d’entretien, le programme de gestion de la configuration, le programme de gestion du travail</w:t>
      </w:r>
      <w:r>
        <w:rPr>
          <w:lang w:val="fr-CA"/>
        </w:rPr>
        <w:t>, le programme de gestion des urgences</w:t>
      </w:r>
      <w:r w:rsidRPr="00223C6B">
        <w:rPr>
          <w:lang w:val="fr-CA"/>
        </w:rPr>
        <w:t xml:space="preserve"> ou un autre programme du titulaire de permis), le titulaire de permis p</w:t>
      </w:r>
      <w:r>
        <w:rPr>
          <w:lang w:val="fr-CA"/>
        </w:rPr>
        <w:t>eut</w:t>
      </w:r>
      <w:r w:rsidRPr="00223C6B">
        <w:rPr>
          <w:lang w:val="fr-CA"/>
        </w:rPr>
        <w:t xml:space="preserve"> fournir un renvoi à ce programme dans le cadre de la gouvernance du programme d’exploitation.</w:t>
      </w:r>
    </w:p>
    <w:p w14:paraId="2616B2A7" w14:textId="77777777" w:rsidR="00E96362" w:rsidRPr="00223C6B" w:rsidRDefault="00E96362" w:rsidP="00E96362">
      <w:pPr>
        <w:pStyle w:val="Heading3"/>
        <w:rPr>
          <w:lang w:val="fr-CA"/>
        </w:rPr>
      </w:pPr>
      <w:bookmarkStart w:id="12" w:name="_Toc126324258"/>
      <w:bookmarkStart w:id="13" w:name="_Toc140068969"/>
      <w:bookmarkStart w:id="14" w:name="_Toc140069131"/>
      <w:bookmarkStart w:id="15" w:name="_Toc140069174"/>
      <w:bookmarkStart w:id="16" w:name="_Toc152766286"/>
      <w:r w:rsidRPr="00223C6B">
        <w:rPr>
          <w:lang w:val="fr-CA"/>
        </w:rPr>
        <w:t>Aperçu général</w:t>
      </w:r>
      <w:bookmarkEnd w:id="12"/>
      <w:bookmarkEnd w:id="13"/>
      <w:bookmarkEnd w:id="14"/>
      <w:bookmarkEnd w:id="15"/>
      <w:bookmarkEnd w:id="16"/>
    </w:p>
    <w:p w14:paraId="4FD0851D" w14:textId="77777777" w:rsidR="00E96362" w:rsidRPr="00223C6B" w:rsidRDefault="00E96362" w:rsidP="00E96362">
      <w:pPr>
        <w:pStyle w:val="HeadingRequirementsorGuidanceLabel"/>
        <w:rPr>
          <w:lang w:val="fr-CA"/>
        </w:rPr>
      </w:pPr>
      <w:bookmarkStart w:id="17" w:name="_Toc140068970"/>
      <w:r w:rsidRPr="00223C6B">
        <w:rPr>
          <w:lang w:val="fr-CA"/>
        </w:rPr>
        <w:t>Exigences</w:t>
      </w:r>
      <w:bookmarkEnd w:id="17"/>
    </w:p>
    <w:p w14:paraId="0D8F7837" w14:textId="77777777" w:rsidR="00E96362" w:rsidRPr="00223C6B" w:rsidRDefault="00E96362" w:rsidP="00E96362">
      <w:pPr>
        <w:pStyle w:val="BodyText"/>
        <w:rPr>
          <w:lang w:val="fr-CA"/>
        </w:rPr>
      </w:pPr>
      <w:r w:rsidRPr="00223C6B">
        <w:rPr>
          <w:lang w:val="fr-CA"/>
        </w:rPr>
        <w:t>Le titulaire de permis doit élaborer, mettre en œuvre et tenir à jour un programme d’exploitation conformément au système de gestion défini dans son fondement d’autorisation. Il doit s’assurer que le programme d’exploitation couvre toutes les activités autorisées se rapportant à l’exploitation de l’installation dotée de réacteurs.</w:t>
      </w:r>
    </w:p>
    <w:p w14:paraId="54037ED1" w14:textId="77777777" w:rsidR="00E96362" w:rsidRPr="00223C6B" w:rsidRDefault="00E96362" w:rsidP="00E96362">
      <w:pPr>
        <w:pStyle w:val="BodyText"/>
        <w:rPr>
          <w:lang w:val="fr-CA"/>
        </w:rPr>
      </w:pPr>
      <w:r w:rsidRPr="00223C6B">
        <w:rPr>
          <w:lang w:val="fr-CA"/>
        </w:rPr>
        <w:t xml:space="preserve">Le titulaire de permis doit documenter la manière dont les activités du programme d’exploitation sont intégrées de sorte à former un cadre complet d’exploitation. </w:t>
      </w:r>
    </w:p>
    <w:p w14:paraId="2524F18B" w14:textId="34E88D50" w:rsidR="00E96362" w:rsidRPr="00391D81" w:rsidRDefault="00E96362" w:rsidP="00E96362">
      <w:pPr>
        <w:pStyle w:val="BodyText"/>
        <w:rPr>
          <w:lang w:val="fr-CA"/>
        </w:rPr>
      </w:pPr>
      <w:r w:rsidRPr="00391D81">
        <w:rPr>
          <w:lang w:val="fr-CA"/>
        </w:rPr>
        <w:t xml:space="preserve">Le titulaire de permis doit </w:t>
      </w:r>
      <w:r w:rsidR="00391D81" w:rsidRPr="00B14D44">
        <w:rPr>
          <w:lang w:val="fr-CA"/>
        </w:rPr>
        <w:t>prendre et documenter les décisions d’exploitation conformément aux principes du système de gestion et en fonction du risque.</w:t>
      </w:r>
    </w:p>
    <w:p w14:paraId="15531E44" w14:textId="77777777" w:rsidR="00E96362" w:rsidRPr="00683937" w:rsidRDefault="00E96362" w:rsidP="00E96362">
      <w:pPr>
        <w:pStyle w:val="BodyText"/>
        <w:rPr>
          <w:lang w:val="fr-CA"/>
        </w:rPr>
      </w:pPr>
      <w:r w:rsidRPr="00683937">
        <w:rPr>
          <w:lang w:val="fr-CA"/>
        </w:rPr>
        <w:t xml:space="preserve">Conformément aux obligations </w:t>
      </w:r>
      <w:r>
        <w:rPr>
          <w:lang w:val="fr-CA"/>
        </w:rPr>
        <w:t xml:space="preserve">en matière de permis </w:t>
      </w:r>
      <w:r w:rsidRPr="00683937">
        <w:rPr>
          <w:lang w:val="fr-CA"/>
        </w:rPr>
        <w:t xml:space="preserve">qui lui incombent en vertu de l’article 12 du </w:t>
      </w:r>
      <w:r w:rsidRPr="00683937">
        <w:rPr>
          <w:i/>
          <w:iCs/>
          <w:lang w:val="fr-CA"/>
        </w:rPr>
        <w:t>Règlement général sur la sûreté et la réglementation nucléaires</w:t>
      </w:r>
      <w:r w:rsidRPr="00683937">
        <w:rPr>
          <w:lang w:val="fr-CA"/>
        </w:rPr>
        <w:t>, le titulaire de permis doit établir des dispositions pour assurer le respect des exigences et des procédures en matière de sûreté en vue du contrôle sûr de l’installation dotée de réacteurs dans toutes les conditions.</w:t>
      </w:r>
    </w:p>
    <w:p w14:paraId="2020EEBE" w14:textId="77777777" w:rsidR="00E96362" w:rsidRPr="00683937" w:rsidRDefault="00E96362" w:rsidP="00E96362">
      <w:pPr>
        <w:pStyle w:val="HeadingRequirementsorGuidanceLabel"/>
        <w:rPr>
          <w:lang w:val="fr-CA"/>
        </w:rPr>
      </w:pPr>
      <w:bookmarkStart w:id="18" w:name="_Toc140068971"/>
      <w:r w:rsidRPr="00683937">
        <w:rPr>
          <w:lang w:val="fr-CA"/>
        </w:rPr>
        <w:t>Orientation</w:t>
      </w:r>
      <w:bookmarkEnd w:id="18"/>
    </w:p>
    <w:p w14:paraId="2A73A3ED" w14:textId="77777777" w:rsidR="00E96362" w:rsidRPr="00683937" w:rsidRDefault="00E96362" w:rsidP="00E96362">
      <w:pPr>
        <w:pStyle w:val="BodyText"/>
        <w:keepNext/>
        <w:spacing w:after="0"/>
        <w:rPr>
          <w:lang w:val="fr-CA"/>
        </w:rPr>
      </w:pPr>
      <w:r w:rsidRPr="00683937">
        <w:rPr>
          <w:lang w:val="fr-CA"/>
        </w:rPr>
        <w:t>Les principes et les éléments clés du programme d’exploitation devraient être conformes aux publications suivantes :</w:t>
      </w:r>
    </w:p>
    <w:p w14:paraId="316477B7" w14:textId="77777777" w:rsidR="00E96362" w:rsidRPr="00683937" w:rsidRDefault="00E96362" w:rsidP="00E96362">
      <w:pPr>
        <w:pStyle w:val="BulletList"/>
        <w:keepNext/>
        <w:numPr>
          <w:ilvl w:val="0"/>
          <w:numId w:val="8"/>
        </w:numPr>
        <w:ind w:left="1077" w:hanging="357"/>
        <w:rPr>
          <w:lang w:val="fr-CA"/>
        </w:rPr>
      </w:pPr>
      <w:r w:rsidRPr="00683937">
        <w:rPr>
          <w:lang w:val="fr-CA"/>
        </w:rPr>
        <w:t>REGDOC</w:t>
      </w:r>
      <w:r w:rsidRPr="00683937">
        <w:rPr>
          <w:lang w:val="fr-CA"/>
        </w:rPr>
        <w:noBreakHyphen/>
        <w:t xml:space="preserve">2.1.2, </w:t>
      </w:r>
      <w:r w:rsidRPr="00683937">
        <w:rPr>
          <w:i/>
          <w:iCs/>
          <w:lang w:val="fr-CA"/>
        </w:rPr>
        <w:t>Culture de sûreté</w:t>
      </w:r>
      <w:r w:rsidRPr="00683937">
        <w:rPr>
          <w:lang w:val="fr-CA"/>
        </w:rPr>
        <w:t> [5]</w:t>
      </w:r>
    </w:p>
    <w:p w14:paraId="76517F4B" w14:textId="77777777" w:rsidR="00E96362" w:rsidRPr="00683937" w:rsidRDefault="00E96362" w:rsidP="00E96362">
      <w:pPr>
        <w:pStyle w:val="BulletListLastItem"/>
        <w:numPr>
          <w:ilvl w:val="0"/>
          <w:numId w:val="8"/>
        </w:numPr>
        <w:ind w:left="1080"/>
        <w:rPr>
          <w:lang w:val="fr-CA"/>
        </w:rPr>
      </w:pPr>
      <w:r w:rsidRPr="00683937">
        <w:rPr>
          <w:lang w:val="fr-CA"/>
        </w:rPr>
        <w:t xml:space="preserve">CSA N286, </w:t>
      </w:r>
      <w:r w:rsidRPr="00683937">
        <w:rPr>
          <w:i/>
          <w:iCs/>
          <w:lang w:val="fr-CA"/>
        </w:rPr>
        <w:t>Exigences relatives au système de gestion des installations nucléaires</w:t>
      </w:r>
      <w:r w:rsidRPr="00683937">
        <w:rPr>
          <w:lang w:val="fr-CA"/>
        </w:rPr>
        <w:t> [4]</w:t>
      </w:r>
    </w:p>
    <w:p w14:paraId="2F8D5BF4" w14:textId="77777777" w:rsidR="00E96362" w:rsidRPr="00683937" w:rsidRDefault="00E96362" w:rsidP="00E96362">
      <w:pPr>
        <w:pStyle w:val="BodyText"/>
        <w:rPr>
          <w:lang w:val="fr-CA"/>
        </w:rPr>
      </w:pPr>
      <w:r w:rsidRPr="00683937">
        <w:rPr>
          <w:lang w:val="fr-CA"/>
        </w:rPr>
        <w:t xml:space="preserve">La formation destinée aux opérateurs devrait traiter des domaines technologiques pertinents </w:t>
      </w:r>
      <w:r>
        <w:rPr>
          <w:lang w:val="fr-CA"/>
        </w:rPr>
        <w:t xml:space="preserve">aux niveaux requis </w:t>
      </w:r>
      <w:r w:rsidRPr="00683937">
        <w:rPr>
          <w:lang w:val="fr-CA"/>
        </w:rPr>
        <w:t>de sorte que les opérateurs puissent exécuter les tâches conformément aux exigences énoncées dans le REGDOC</w:t>
      </w:r>
      <w:r w:rsidRPr="00683937">
        <w:rPr>
          <w:lang w:val="fr-CA"/>
        </w:rPr>
        <w:noBreakHyphen/>
        <w:t xml:space="preserve">2.2.2, </w:t>
      </w:r>
      <w:r w:rsidRPr="00683937">
        <w:rPr>
          <w:i/>
          <w:iCs/>
          <w:lang w:val="fr-CA"/>
        </w:rPr>
        <w:t>La formation du personnel</w:t>
      </w:r>
      <w:r w:rsidRPr="00683937">
        <w:rPr>
          <w:lang w:val="fr-CA"/>
        </w:rPr>
        <w:t> [6] et le REGDOC</w:t>
      </w:r>
      <w:r w:rsidRPr="00683937">
        <w:rPr>
          <w:lang w:val="fr-CA"/>
        </w:rPr>
        <w:noBreakHyphen/>
        <w:t xml:space="preserve">2.2.3, </w:t>
      </w:r>
      <w:r w:rsidRPr="00683937">
        <w:rPr>
          <w:i/>
          <w:iCs/>
          <w:lang w:val="fr-CA"/>
        </w:rPr>
        <w:t>Accréditation du personnel, tome III : Accréditation des personnes qui travaillent dans des installations dotées de réacteurs</w:t>
      </w:r>
      <w:r w:rsidRPr="00683937">
        <w:rPr>
          <w:lang w:val="fr-CA"/>
        </w:rPr>
        <w:t xml:space="preserve"> [7]. </w:t>
      </w:r>
    </w:p>
    <w:p w14:paraId="5D0D7548" w14:textId="77777777" w:rsidR="00E96362" w:rsidRPr="00683937" w:rsidRDefault="00E96362" w:rsidP="00E96362">
      <w:pPr>
        <w:pStyle w:val="BodyText"/>
        <w:rPr>
          <w:lang w:val="fr-CA"/>
        </w:rPr>
      </w:pPr>
      <w:r w:rsidRPr="00683937">
        <w:rPr>
          <w:lang w:val="fr-CA"/>
        </w:rPr>
        <w:t>Pour obtenir plus d’information sur les programmes d’exploitation, veuillez consulter le document n</w:t>
      </w:r>
      <w:r w:rsidRPr="00683937">
        <w:rPr>
          <w:vertAlign w:val="superscript"/>
          <w:lang w:val="fr-CA"/>
        </w:rPr>
        <w:t>o</w:t>
      </w:r>
      <w:r w:rsidRPr="00683937">
        <w:rPr>
          <w:lang w:val="fr-CA"/>
        </w:rPr>
        <w:t> NS</w:t>
      </w:r>
      <w:r w:rsidRPr="00683937">
        <w:rPr>
          <w:lang w:val="fr-CA"/>
        </w:rPr>
        <w:noBreakHyphen/>
        <w:t>G</w:t>
      </w:r>
      <w:r w:rsidRPr="00683937">
        <w:rPr>
          <w:lang w:val="fr-CA"/>
        </w:rPr>
        <w:noBreakHyphen/>
        <w:t xml:space="preserve">2.14, </w:t>
      </w:r>
      <w:r w:rsidRPr="00683937">
        <w:rPr>
          <w:i/>
          <w:iCs/>
          <w:u w:color="0000FF"/>
          <w:lang w:val="fr-CA"/>
        </w:rPr>
        <w:t>Conduct of Operations at Nuclear Power Plants</w:t>
      </w:r>
      <w:r w:rsidRPr="00683937">
        <w:rPr>
          <w:lang w:val="fr-CA"/>
        </w:rPr>
        <w:t> [8], de l’AIEA.</w:t>
      </w:r>
    </w:p>
    <w:p w14:paraId="68593C98" w14:textId="77777777" w:rsidR="00E96362" w:rsidRPr="00683937" w:rsidRDefault="00E96362" w:rsidP="00E96362">
      <w:pPr>
        <w:pStyle w:val="Heading3"/>
        <w:rPr>
          <w:lang w:val="fr-CA"/>
        </w:rPr>
      </w:pPr>
      <w:bookmarkStart w:id="19" w:name="_Toc531595078"/>
      <w:bookmarkStart w:id="20" w:name="_Toc126324259"/>
      <w:bookmarkStart w:id="21" w:name="_Toc140068972"/>
      <w:bookmarkStart w:id="22" w:name="_Toc140069132"/>
      <w:bookmarkStart w:id="23" w:name="_Toc140069175"/>
      <w:bookmarkStart w:id="24" w:name="_Toc152766287"/>
      <w:r w:rsidRPr="00683937">
        <w:rPr>
          <w:lang w:val="fr-CA"/>
        </w:rPr>
        <w:t>Programmes d’interfa</w:t>
      </w:r>
      <w:bookmarkEnd w:id="19"/>
      <w:bookmarkEnd w:id="20"/>
      <w:r>
        <w:rPr>
          <w:lang w:val="fr-CA"/>
        </w:rPr>
        <w:t>çage</w:t>
      </w:r>
      <w:bookmarkEnd w:id="21"/>
      <w:bookmarkEnd w:id="22"/>
      <w:bookmarkEnd w:id="23"/>
      <w:bookmarkEnd w:id="24"/>
    </w:p>
    <w:p w14:paraId="42769392" w14:textId="77777777" w:rsidR="00E96362" w:rsidRPr="00683937" w:rsidRDefault="00E96362" w:rsidP="00E96362">
      <w:pPr>
        <w:pStyle w:val="HeadingRequirementsorGuidanceLabel"/>
        <w:rPr>
          <w:lang w:val="fr-CA"/>
        </w:rPr>
      </w:pPr>
      <w:bookmarkStart w:id="25" w:name="_Toc140068973"/>
      <w:r w:rsidRPr="00683937">
        <w:rPr>
          <w:lang w:val="fr-CA"/>
        </w:rPr>
        <w:t>Exigences</w:t>
      </w:r>
      <w:bookmarkEnd w:id="25"/>
    </w:p>
    <w:p w14:paraId="5A0827A5" w14:textId="77777777" w:rsidR="00E96362" w:rsidRPr="00683937" w:rsidRDefault="00E96362" w:rsidP="00E96362">
      <w:pPr>
        <w:pStyle w:val="BodyText"/>
        <w:rPr>
          <w:lang w:val="fr-CA"/>
        </w:rPr>
      </w:pPr>
      <w:r w:rsidRPr="00683937">
        <w:rPr>
          <w:lang w:val="fr-CA"/>
        </w:rPr>
        <w:t>Le titulaire de permis doit s’assurer que le programme d’exploitation désigne tous les programmes d’interfa</w:t>
      </w:r>
      <w:r>
        <w:rPr>
          <w:lang w:val="fr-CA"/>
        </w:rPr>
        <w:t>çage</w:t>
      </w:r>
      <w:r w:rsidRPr="00683937">
        <w:rPr>
          <w:lang w:val="fr-CA"/>
        </w:rPr>
        <w:t xml:space="preserve"> ainsi que les processus et </w:t>
      </w:r>
      <w:r>
        <w:rPr>
          <w:lang w:val="fr-CA"/>
        </w:rPr>
        <w:t xml:space="preserve">les </w:t>
      </w:r>
      <w:r w:rsidRPr="00683937">
        <w:rPr>
          <w:lang w:val="fr-CA"/>
        </w:rPr>
        <w:t xml:space="preserve">pratiques autonomes. </w:t>
      </w:r>
    </w:p>
    <w:p w14:paraId="05E5DC75" w14:textId="77777777" w:rsidR="00E96362" w:rsidRPr="00683937" w:rsidRDefault="00E96362" w:rsidP="00E96362">
      <w:pPr>
        <w:pStyle w:val="HeadingRequirementsorGuidanceLabel"/>
        <w:rPr>
          <w:lang w:val="fr-CA"/>
        </w:rPr>
      </w:pPr>
      <w:bookmarkStart w:id="26" w:name="_Toc140068974"/>
      <w:r w:rsidRPr="00683937">
        <w:rPr>
          <w:lang w:val="fr-CA"/>
        </w:rPr>
        <w:t>Orientation</w:t>
      </w:r>
      <w:bookmarkEnd w:id="26"/>
    </w:p>
    <w:p w14:paraId="5E471D1D" w14:textId="77777777" w:rsidR="00E96362" w:rsidRPr="00683937" w:rsidRDefault="00E96362" w:rsidP="00E96362">
      <w:pPr>
        <w:pStyle w:val="BodyText"/>
        <w:keepNext/>
        <w:spacing w:after="0"/>
        <w:rPr>
          <w:lang w:val="fr-CA"/>
        </w:rPr>
      </w:pPr>
      <w:r w:rsidRPr="00683937">
        <w:rPr>
          <w:lang w:val="fr-CA"/>
        </w:rPr>
        <w:t>Lorsqu’il y a un chevauchement entre une activité d’un programme d’interfa</w:t>
      </w:r>
      <w:r>
        <w:rPr>
          <w:lang w:val="fr-CA"/>
        </w:rPr>
        <w:t>çage</w:t>
      </w:r>
      <w:r w:rsidRPr="00683937">
        <w:rPr>
          <w:lang w:val="fr-CA"/>
        </w:rPr>
        <w:t xml:space="preserve"> et le programme d’exploitation, le titulaire de permis devrait :</w:t>
      </w:r>
    </w:p>
    <w:p w14:paraId="6934CC9B" w14:textId="77777777" w:rsidR="00E96362" w:rsidRPr="00683937" w:rsidRDefault="00E96362" w:rsidP="00E96362">
      <w:pPr>
        <w:pStyle w:val="BulletList"/>
        <w:keepNext/>
        <w:numPr>
          <w:ilvl w:val="0"/>
          <w:numId w:val="8"/>
        </w:numPr>
        <w:ind w:left="1077" w:hanging="357"/>
        <w:rPr>
          <w:lang w:val="fr-CA"/>
        </w:rPr>
      </w:pPr>
      <w:r w:rsidRPr="00683937">
        <w:rPr>
          <w:lang w:val="fr-CA"/>
        </w:rPr>
        <w:t>définir l’ensemble des rôles, responsabilités et obligations pour les programmes qui se chevauchent</w:t>
      </w:r>
    </w:p>
    <w:p w14:paraId="299A45CE" w14:textId="77777777" w:rsidR="00E96362" w:rsidRPr="00683937" w:rsidRDefault="00E96362" w:rsidP="00E96362">
      <w:pPr>
        <w:pStyle w:val="BulletListLastItem"/>
        <w:numPr>
          <w:ilvl w:val="0"/>
          <w:numId w:val="8"/>
        </w:numPr>
        <w:ind w:left="1080"/>
        <w:rPr>
          <w:lang w:val="fr-CA"/>
        </w:rPr>
      </w:pPr>
      <w:r w:rsidRPr="00683937">
        <w:rPr>
          <w:lang w:val="fr-CA"/>
        </w:rPr>
        <w:t>résumer toute différence en matière d’obligations entre les programmes</w:t>
      </w:r>
    </w:p>
    <w:p w14:paraId="1E74AE1B" w14:textId="77777777" w:rsidR="00E96362" w:rsidRPr="00683937" w:rsidRDefault="00E96362" w:rsidP="00E96362">
      <w:pPr>
        <w:pStyle w:val="BodyText"/>
        <w:rPr>
          <w:lang w:val="fr-CA"/>
        </w:rPr>
      </w:pPr>
      <w:r w:rsidRPr="00683937">
        <w:rPr>
          <w:lang w:val="fr-CA"/>
        </w:rPr>
        <w:t>Mentionnons à titre d’exemples de programmes d’interfa</w:t>
      </w:r>
      <w:r>
        <w:rPr>
          <w:lang w:val="fr-CA"/>
        </w:rPr>
        <w:t>çage</w:t>
      </w:r>
      <w:r w:rsidRPr="00683937">
        <w:rPr>
          <w:lang w:val="fr-CA"/>
        </w:rPr>
        <w:t xml:space="preserve"> les programmes de mise en service, de performance humaine, d’entretien, de gestion de la configuration, de gestion du travail, de gestion des accidents, de sécurité, de gestion des urgences et de déclassement du titulaire de permis.</w:t>
      </w:r>
    </w:p>
    <w:p w14:paraId="7D47F31C" w14:textId="77777777" w:rsidR="00E96362" w:rsidRPr="00683937" w:rsidRDefault="00E96362" w:rsidP="00E96362">
      <w:pPr>
        <w:pStyle w:val="BodyText"/>
        <w:keepNext/>
        <w:spacing w:after="0"/>
        <w:rPr>
          <w:lang w:val="fr-CA"/>
        </w:rPr>
      </w:pPr>
      <w:r w:rsidRPr="00683937">
        <w:rPr>
          <w:lang w:val="fr-CA"/>
        </w:rPr>
        <w:t xml:space="preserve">Pour obtenir plus d’information sur les exigences et </w:t>
      </w:r>
      <w:r>
        <w:rPr>
          <w:lang w:val="fr-CA"/>
        </w:rPr>
        <w:t>l’</w:t>
      </w:r>
      <w:r w:rsidRPr="00683937">
        <w:rPr>
          <w:lang w:val="fr-CA"/>
        </w:rPr>
        <w:t>orientation</w:t>
      </w:r>
      <w:r>
        <w:rPr>
          <w:lang w:val="fr-CA"/>
        </w:rPr>
        <w:t xml:space="preserve"> relatives aux </w:t>
      </w:r>
      <w:r w:rsidRPr="00683937">
        <w:rPr>
          <w:lang w:val="fr-CA"/>
        </w:rPr>
        <w:t>programmes qui se chevauchent, veuillez consulter les documents suivants :</w:t>
      </w:r>
    </w:p>
    <w:p w14:paraId="48D71D30" w14:textId="3A8D02E3" w:rsidR="00FE7859" w:rsidRDefault="00FE7859" w:rsidP="00E96362">
      <w:pPr>
        <w:pStyle w:val="BulletList"/>
        <w:numPr>
          <w:ilvl w:val="0"/>
          <w:numId w:val="8"/>
        </w:numPr>
        <w:ind w:left="1080"/>
        <w:rPr>
          <w:lang w:val="fr-CA"/>
        </w:rPr>
      </w:pPr>
      <w:r w:rsidRPr="00683937">
        <w:rPr>
          <w:lang w:val="fr-CA"/>
        </w:rPr>
        <w:t>REGDOC</w:t>
      </w:r>
      <w:r w:rsidRPr="00683937">
        <w:rPr>
          <w:lang w:val="fr-CA"/>
        </w:rPr>
        <w:noBreakHyphen/>
        <w:t xml:space="preserve">2.1.2, </w:t>
      </w:r>
      <w:r w:rsidRPr="00683937">
        <w:rPr>
          <w:i/>
          <w:iCs/>
          <w:lang w:val="fr-CA"/>
        </w:rPr>
        <w:t>Culture de sûreté</w:t>
      </w:r>
      <w:r w:rsidRPr="00683937">
        <w:rPr>
          <w:lang w:val="fr-CA"/>
        </w:rPr>
        <w:t> [5]</w:t>
      </w:r>
    </w:p>
    <w:p w14:paraId="4C4666F1" w14:textId="1142C047" w:rsidR="00E96362" w:rsidRPr="00683937" w:rsidRDefault="00E96362" w:rsidP="00E96362">
      <w:pPr>
        <w:pStyle w:val="BulletList"/>
        <w:numPr>
          <w:ilvl w:val="0"/>
          <w:numId w:val="8"/>
        </w:numPr>
        <w:ind w:left="1080"/>
        <w:rPr>
          <w:lang w:val="fr-CA"/>
        </w:rPr>
      </w:pPr>
      <w:r w:rsidRPr="00683937">
        <w:rPr>
          <w:lang w:val="fr-CA"/>
        </w:rPr>
        <w:t>REGDOC</w:t>
      </w:r>
      <w:r w:rsidRPr="00683937">
        <w:rPr>
          <w:lang w:val="fr-CA"/>
        </w:rPr>
        <w:noBreakHyphen/>
        <w:t xml:space="preserve">2.3.1, </w:t>
      </w:r>
      <w:r w:rsidRPr="00683937">
        <w:rPr>
          <w:i/>
          <w:iCs/>
          <w:lang w:val="fr-CA"/>
        </w:rPr>
        <w:t>Réalisation des activités autorisées : Programmes de construction et de mise en service</w:t>
      </w:r>
      <w:r w:rsidRPr="00683937">
        <w:rPr>
          <w:lang w:val="fr-CA"/>
        </w:rPr>
        <w:t> [9]</w:t>
      </w:r>
    </w:p>
    <w:p w14:paraId="43E80970" w14:textId="1A688219" w:rsidR="00E96362" w:rsidRDefault="00E96362" w:rsidP="00E96362">
      <w:pPr>
        <w:pStyle w:val="BulletList"/>
        <w:keepNext/>
        <w:numPr>
          <w:ilvl w:val="0"/>
          <w:numId w:val="8"/>
        </w:numPr>
        <w:ind w:left="1077" w:hanging="357"/>
        <w:rPr>
          <w:lang w:val="fr-CA"/>
        </w:rPr>
      </w:pPr>
      <w:r w:rsidRPr="00683937">
        <w:rPr>
          <w:lang w:val="fr-CA"/>
        </w:rPr>
        <w:t>REGDOC</w:t>
      </w:r>
      <w:r w:rsidRPr="00683937">
        <w:rPr>
          <w:lang w:val="fr-CA"/>
        </w:rPr>
        <w:noBreakHyphen/>
        <w:t xml:space="preserve">2.11.2, </w:t>
      </w:r>
      <w:r w:rsidRPr="00683937">
        <w:rPr>
          <w:i/>
          <w:iCs/>
          <w:lang w:val="fr-CA"/>
        </w:rPr>
        <w:t>Déclassement</w:t>
      </w:r>
      <w:r w:rsidRPr="00683937">
        <w:rPr>
          <w:lang w:val="fr-CA"/>
        </w:rPr>
        <w:t> [10]</w:t>
      </w:r>
    </w:p>
    <w:p w14:paraId="3653B52D" w14:textId="6AD48604" w:rsidR="00FE7859" w:rsidRPr="00683937" w:rsidRDefault="00FE7859" w:rsidP="00E96362">
      <w:pPr>
        <w:pStyle w:val="BulletList"/>
        <w:keepNext/>
        <w:numPr>
          <w:ilvl w:val="0"/>
          <w:numId w:val="8"/>
        </w:numPr>
        <w:ind w:left="1077" w:hanging="357"/>
        <w:rPr>
          <w:lang w:val="fr-CA"/>
        </w:rPr>
      </w:pPr>
      <w:r w:rsidRPr="00683937">
        <w:rPr>
          <w:lang w:val="fr-CA"/>
        </w:rPr>
        <w:t xml:space="preserve">CSA N286, </w:t>
      </w:r>
      <w:r w:rsidRPr="00683937">
        <w:rPr>
          <w:i/>
          <w:iCs/>
          <w:lang w:val="fr-CA"/>
        </w:rPr>
        <w:t>Exigences relatives au système de gestion des installations nucléaires</w:t>
      </w:r>
      <w:r w:rsidRPr="00683937">
        <w:rPr>
          <w:lang w:val="fr-CA"/>
        </w:rPr>
        <w:t> [4]</w:t>
      </w:r>
    </w:p>
    <w:p w14:paraId="37BED804" w14:textId="77777777" w:rsidR="00E96362" w:rsidRPr="00683937" w:rsidRDefault="00E96362" w:rsidP="00E96362">
      <w:pPr>
        <w:pStyle w:val="BulletListLastItem"/>
        <w:numPr>
          <w:ilvl w:val="0"/>
          <w:numId w:val="8"/>
        </w:numPr>
        <w:ind w:left="1080"/>
        <w:rPr>
          <w:lang w:val="fr-CA"/>
        </w:rPr>
      </w:pPr>
      <w:r>
        <w:rPr>
          <w:lang w:val="fr-CA"/>
        </w:rPr>
        <w:t>d</w:t>
      </w:r>
      <w:r w:rsidRPr="00683937">
        <w:rPr>
          <w:lang w:val="fr-CA"/>
        </w:rPr>
        <w:t>ocuments d’application de la réglementation et normes de l’industrie pour d’autres programmes en particulier</w:t>
      </w:r>
    </w:p>
    <w:p w14:paraId="2F71F27D" w14:textId="77777777" w:rsidR="00E96362" w:rsidRPr="00683937" w:rsidRDefault="00E96362" w:rsidP="00E96362">
      <w:pPr>
        <w:pStyle w:val="Heading3"/>
        <w:rPr>
          <w:lang w:val="fr-CA"/>
        </w:rPr>
      </w:pPr>
      <w:bookmarkStart w:id="27" w:name="_Toc126324260"/>
      <w:bookmarkStart w:id="28" w:name="_Toc140068975"/>
      <w:bookmarkStart w:id="29" w:name="_Toc140069133"/>
      <w:bookmarkStart w:id="30" w:name="_Toc140069176"/>
      <w:bookmarkStart w:id="31" w:name="_Toc152766288"/>
      <w:r w:rsidRPr="00683937">
        <w:rPr>
          <w:lang w:val="fr-CA"/>
        </w:rPr>
        <w:t>Organisation exploitante</w:t>
      </w:r>
      <w:bookmarkEnd w:id="27"/>
      <w:bookmarkEnd w:id="28"/>
      <w:bookmarkEnd w:id="29"/>
      <w:bookmarkEnd w:id="30"/>
      <w:bookmarkEnd w:id="31"/>
    </w:p>
    <w:p w14:paraId="41706181" w14:textId="77777777" w:rsidR="00E96362" w:rsidRPr="00683937" w:rsidRDefault="00E96362" w:rsidP="00E96362">
      <w:pPr>
        <w:pStyle w:val="HeadingRequirementsorGuidanceLabel"/>
        <w:rPr>
          <w:lang w:val="fr-CA"/>
        </w:rPr>
      </w:pPr>
      <w:bookmarkStart w:id="32" w:name="_Toc140068976"/>
      <w:r w:rsidRPr="00683937">
        <w:rPr>
          <w:lang w:val="fr-CA"/>
        </w:rPr>
        <w:t>Exigences</w:t>
      </w:r>
      <w:bookmarkEnd w:id="32"/>
    </w:p>
    <w:p w14:paraId="0F595F44" w14:textId="16CC72D6" w:rsidR="00E96362" w:rsidRPr="00683937" w:rsidRDefault="00E96362" w:rsidP="00E96362">
      <w:pPr>
        <w:pStyle w:val="BodyText"/>
        <w:rPr>
          <w:lang w:val="fr-CA"/>
        </w:rPr>
      </w:pPr>
      <w:r w:rsidRPr="00683937">
        <w:rPr>
          <w:lang w:val="fr-CA"/>
        </w:rPr>
        <w:t xml:space="preserve">Le titulaire de permis doit </w:t>
      </w:r>
      <w:r>
        <w:rPr>
          <w:lang w:val="fr-CA"/>
        </w:rPr>
        <w:t>mettre en place</w:t>
      </w:r>
      <w:r w:rsidRPr="00683937">
        <w:rPr>
          <w:lang w:val="fr-CA"/>
        </w:rPr>
        <w:t xml:space="preserve"> une organisation exploitante aux fins de la mise en œuvre et de la tenue à jour du programme d’exploitation. </w:t>
      </w:r>
    </w:p>
    <w:p w14:paraId="72A87F87" w14:textId="77777777" w:rsidR="00E96362" w:rsidRPr="00683937" w:rsidRDefault="00E96362" w:rsidP="00E96362">
      <w:pPr>
        <w:pStyle w:val="BodyText"/>
        <w:keepNext/>
        <w:spacing w:after="0"/>
        <w:rPr>
          <w:lang w:val="fr-CA"/>
        </w:rPr>
      </w:pPr>
      <w:r w:rsidRPr="00683937">
        <w:rPr>
          <w:lang w:val="fr-CA"/>
        </w:rPr>
        <w:t>L’organisation exploitante doit s’assurer que le programme d’exploitation :</w:t>
      </w:r>
    </w:p>
    <w:p w14:paraId="4531575A" w14:textId="77777777" w:rsidR="00E96362" w:rsidRPr="00683937" w:rsidRDefault="00E96362" w:rsidP="00E96362">
      <w:pPr>
        <w:pStyle w:val="BulletList"/>
        <w:keepNext/>
        <w:numPr>
          <w:ilvl w:val="0"/>
          <w:numId w:val="8"/>
        </w:numPr>
        <w:ind w:left="1077" w:hanging="357"/>
        <w:rPr>
          <w:lang w:val="fr-CA"/>
        </w:rPr>
      </w:pPr>
      <w:r w:rsidRPr="00683937">
        <w:rPr>
          <w:lang w:val="fr-CA"/>
        </w:rPr>
        <w:t>énonce les pouvoirs, les responsabilités et les obligations incombant à chaque niveau de gestion au chapitre de la réalisation des activités autorisées en toute sûreté</w:t>
      </w:r>
    </w:p>
    <w:p w14:paraId="10F0F489" w14:textId="77777777" w:rsidR="00E96362" w:rsidRPr="00683937" w:rsidRDefault="00E96362" w:rsidP="00E96362">
      <w:pPr>
        <w:pStyle w:val="BulletList"/>
        <w:keepNext/>
        <w:numPr>
          <w:ilvl w:val="0"/>
          <w:numId w:val="8"/>
        </w:numPr>
        <w:ind w:left="1077" w:hanging="357"/>
        <w:rPr>
          <w:lang w:val="fr-CA"/>
        </w:rPr>
      </w:pPr>
      <w:r w:rsidRPr="00683937">
        <w:rPr>
          <w:lang w:val="fr-CA"/>
        </w:rPr>
        <w:t>définit clairement la structure organisationnelle de l’exploitation de l’installation</w:t>
      </w:r>
    </w:p>
    <w:p w14:paraId="06E1E146" w14:textId="77777777" w:rsidR="00E96362" w:rsidRPr="00683937" w:rsidRDefault="00E96362" w:rsidP="00E96362">
      <w:pPr>
        <w:pStyle w:val="BulletListLastItem"/>
        <w:numPr>
          <w:ilvl w:val="0"/>
          <w:numId w:val="8"/>
        </w:numPr>
        <w:ind w:left="1080"/>
        <w:rPr>
          <w:lang w:val="fr-CA"/>
        </w:rPr>
      </w:pPr>
      <w:r w:rsidRPr="00683937">
        <w:rPr>
          <w:lang w:val="fr-CA"/>
        </w:rPr>
        <w:t>documente officiellement les contrôles administratifs de mise en œuvre de la structure organisationnelle</w:t>
      </w:r>
    </w:p>
    <w:p w14:paraId="6B6C8362" w14:textId="77777777" w:rsidR="00E96362" w:rsidRPr="00683937" w:rsidRDefault="00E96362" w:rsidP="00E96362">
      <w:pPr>
        <w:pStyle w:val="BodyText"/>
        <w:rPr>
          <w:lang w:val="fr-CA"/>
        </w:rPr>
      </w:pPr>
      <w:r w:rsidRPr="00683937">
        <w:rPr>
          <w:lang w:val="fr-CA"/>
        </w:rPr>
        <w:t>L’organisation exploitante doit s’assurer que les aspects clés du programme d’exploitation sont communiqués aux organisations auxiliaires (par exemple, les entrepreneurs, les organisations d’entretien externes, les fournisseurs, les instituts de recherche et les organisations de soutien technique) afin que les exigences et les attentes du titulaire de permis en matière de sûreté soient respectées.</w:t>
      </w:r>
    </w:p>
    <w:p w14:paraId="3CF9454E" w14:textId="77777777" w:rsidR="00E96362" w:rsidRPr="00683937" w:rsidRDefault="00E96362" w:rsidP="00E96362">
      <w:pPr>
        <w:pStyle w:val="HeadingRequirementsorGuidanceLabel"/>
        <w:rPr>
          <w:lang w:val="fr-CA"/>
        </w:rPr>
      </w:pPr>
      <w:bookmarkStart w:id="33" w:name="_Toc140068977"/>
      <w:r w:rsidRPr="00683937">
        <w:rPr>
          <w:lang w:val="fr-CA"/>
        </w:rPr>
        <w:t>Orientation</w:t>
      </w:r>
      <w:bookmarkEnd w:id="33"/>
    </w:p>
    <w:p w14:paraId="41E4A12B" w14:textId="77777777" w:rsidR="00E96362" w:rsidRPr="00683937" w:rsidRDefault="00E96362" w:rsidP="00E96362">
      <w:pPr>
        <w:pStyle w:val="BodyText"/>
        <w:rPr>
          <w:lang w:val="fr-CA"/>
        </w:rPr>
      </w:pPr>
      <w:r w:rsidRPr="00683937">
        <w:rPr>
          <w:lang w:val="fr-CA"/>
        </w:rPr>
        <w:t>L’organisation exploitante d</w:t>
      </w:r>
      <w:r>
        <w:rPr>
          <w:lang w:val="fr-CA"/>
        </w:rPr>
        <w:t>evrait</w:t>
      </w:r>
      <w:r w:rsidRPr="00683937">
        <w:rPr>
          <w:lang w:val="fr-CA"/>
        </w:rPr>
        <w:t xml:space="preserve"> également s’assurer que le programme d’exploitation contribue au maintien d’une </w:t>
      </w:r>
      <w:r>
        <w:rPr>
          <w:lang w:val="fr-CA"/>
        </w:rPr>
        <w:t xml:space="preserve">solide </w:t>
      </w:r>
      <w:r w:rsidRPr="00683937">
        <w:rPr>
          <w:lang w:val="fr-CA"/>
        </w:rPr>
        <w:t>culture de sécurité au sein de l’organisation.</w:t>
      </w:r>
    </w:p>
    <w:p w14:paraId="7B07D4AC" w14:textId="77777777" w:rsidR="00E96362" w:rsidRPr="00683937" w:rsidRDefault="00E96362" w:rsidP="00E96362">
      <w:pPr>
        <w:pStyle w:val="BodyText"/>
        <w:rPr>
          <w:lang w:val="fr-CA"/>
        </w:rPr>
      </w:pPr>
      <w:r w:rsidRPr="00683937">
        <w:rPr>
          <w:lang w:val="fr-CA"/>
        </w:rPr>
        <w:t xml:space="preserve">L’organisation exploitante devrait mettre en place des dispositions pour traiter </w:t>
      </w:r>
      <w:r>
        <w:rPr>
          <w:lang w:val="fr-CA"/>
        </w:rPr>
        <w:t>l</w:t>
      </w:r>
      <w:r w:rsidRPr="00683937">
        <w:rPr>
          <w:lang w:val="fr-CA"/>
        </w:rPr>
        <w:t>es interfaces entre elle et les autres ministères ou les organisations auxiliaires (tant internes qu’externes; par exemple, les fournisseurs et les entrepreneurs). Pour obtenir plus d’information sur les programmes d’interfa</w:t>
      </w:r>
      <w:r>
        <w:rPr>
          <w:lang w:val="fr-CA"/>
        </w:rPr>
        <w:t>çage</w:t>
      </w:r>
      <w:r w:rsidRPr="00683937">
        <w:rPr>
          <w:lang w:val="fr-CA"/>
        </w:rPr>
        <w:t xml:space="preserve">, veuillez consulter la section 2.2, </w:t>
      </w:r>
      <w:r w:rsidRPr="00683937">
        <w:rPr>
          <w:i/>
          <w:iCs/>
          <w:lang w:val="fr-CA"/>
        </w:rPr>
        <w:t>Programmes d’interfa</w:t>
      </w:r>
      <w:r>
        <w:rPr>
          <w:i/>
          <w:iCs/>
          <w:lang w:val="fr-CA"/>
        </w:rPr>
        <w:t>çage</w:t>
      </w:r>
      <w:r w:rsidRPr="00683937">
        <w:rPr>
          <w:lang w:val="fr-CA"/>
        </w:rPr>
        <w:t>.</w:t>
      </w:r>
    </w:p>
    <w:p w14:paraId="7676B375" w14:textId="77777777" w:rsidR="00E96362" w:rsidRPr="00683937" w:rsidRDefault="00E96362" w:rsidP="00E96362">
      <w:pPr>
        <w:pStyle w:val="BodyText"/>
        <w:keepNext/>
        <w:spacing w:after="0"/>
        <w:rPr>
          <w:lang w:val="fr-CA"/>
        </w:rPr>
      </w:pPr>
      <w:r w:rsidRPr="00683937">
        <w:rPr>
          <w:lang w:val="fr-CA"/>
        </w:rPr>
        <w:t>Voici quelques exemples de façons dont le programme d’exploitation peut contribuer au maintien d’une</w:t>
      </w:r>
      <w:r>
        <w:rPr>
          <w:lang w:val="fr-CA"/>
        </w:rPr>
        <w:t xml:space="preserve"> solide</w:t>
      </w:r>
      <w:r w:rsidRPr="00683937">
        <w:rPr>
          <w:lang w:val="fr-CA"/>
        </w:rPr>
        <w:t xml:space="preserve"> culture de sûreté :</w:t>
      </w:r>
    </w:p>
    <w:p w14:paraId="42CF7BC7"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 respect et l’utilisation appropriée des normes et procédures approuvées, de même que l’amélioration continue des procédures en fonction de l’OPEX</w:t>
      </w:r>
    </w:p>
    <w:p w14:paraId="2CCC46E7" w14:textId="77777777" w:rsidR="00E96362" w:rsidRPr="00683937" w:rsidRDefault="00E96362" w:rsidP="00E96362">
      <w:pPr>
        <w:pStyle w:val="BulletList"/>
        <w:keepNext/>
        <w:numPr>
          <w:ilvl w:val="0"/>
          <w:numId w:val="8"/>
        </w:numPr>
        <w:ind w:left="1077" w:hanging="357"/>
        <w:rPr>
          <w:lang w:val="fr-CA"/>
        </w:rPr>
      </w:pPr>
      <w:r>
        <w:rPr>
          <w:lang w:val="fr-CA"/>
        </w:rPr>
        <w:t>s</w:t>
      </w:r>
      <w:r w:rsidRPr="00683937">
        <w:rPr>
          <w:lang w:val="fr-CA"/>
        </w:rPr>
        <w:t xml:space="preserve">’assurer que suffisamment de ressources sont disponibles pour répondre aux exigences du travail </w:t>
      </w:r>
    </w:p>
    <w:p w14:paraId="33C8DBF1" w14:textId="77777777" w:rsidR="00E96362" w:rsidRPr="00683937" w:rsidRDefault="00E96362" w:rsidP="00E96362">
      <w:pPr>
        <w:pStyle w:val="BulletListLastItem"/>
        <w:numPr>
          <w:ilvl w:val="0"/>
          <w:numId w:val="8"/>
        </w:numPr>
        <w:ind w:left="1080"/>
        <w:rPr>
          <w:lang w:val="fr-CA"/>
        </w:rPr>
      </w:pPr>
      <w:r>
        <w:rPr>
          <w:lang w:val="fr-CA"/>
        </w:rPr>
        <w:t>s</w:t>
      </w:r>
      <w:r w:rsidRPr="00683937">
        <w:rPr>
          <w:lang w:val="fr-CA"/>
        </w:rPr>
        <w:t>urveiller et évaluer le rendement, de même que s’efforcer d’assurer l’amélioration continue en fonction de l’OPEX.</w:t>
      </w:r>
    </w:p>
    <w:p w14:paraId="3BAA8617" w14:textId="77777777" w:rsidR="00E96362" w:rsidRPr="00683937" w:rsidRDefault="00E96362" w:rsidP="00E96362">
      <w:pPr>
        <w:pStyle w:val="Heading4"/>
        <w:rPr>
          <w:lang w:val="fr-CA"/>
        </w:rPr>
      </w:pPr>
      <w:bookmarkStart w:id="34" w:name="_Toc126324261"/>
      <w:bookmarkStart w:id="35" w:name="_Toc140068978"/>
      <w:bookmarkStart w:id="36" w:name="_Toc146536188"/>
      <w:bookmarkStart w:id="37" w:name="_Toc149035705"/>
      <w:bookmarkStart w:id="38" w:name="_Toc152766289"/>
      <w:r w:rsidRPr="00683937">
        <w:rPr>
          <w:lang w:val="fr-CA"/>
        </w:rPr>
        <w:t>Attentes à l’égard des gestionnaires de service des opérations</w:t>
      </w:r>
      <w:bookmarkEnd w:id="34"/>
      <w:bookmarkEnd w:id="35"/>
      <w:bookmarkEnd w:id="36"/>
      <w:bookmarkEnd w:id="37"/>
      <w:bookmarkEnd w:id="38"/>
    </w:p>
    <w:p w14:paraId="17E6FC85" w14:textId="77777777" w:rsidR="00E96362" w:rsidRPr="00683937" w:rsidRDefault="00E96362" w:rsidP="00E96362">
      <w:pPr>
        <w:pStyle w:val="BodyText"/>
        <w:rPr>
          <w:lang w:val="fr-CA"/>
        </w:rPr>
      </w:pPr>
      <w:r w:rsidRPr="00683937">
        <w:rPr>
          <w:lang w:val="fr-CA"/>
        </w:rPr>
        <w:t xml:space="preserve">Un gestionnaire de service des opérations d’un quart de travail assigné est responsable de la </w:t>
      </w:r>
      <w:bookmarkStart w:id="39" w:name="_Hlk132113051"/>
      <w:r w:rsidRPr="00683937">
        <w:rPr>
          <w:lang w:val="fr-CA"/>
        </w:rPr>
        <w:t>protection et de la sûreté (de l’installation dotée de réacteurs, ainsi que de la sécurité des travailleurs et du public)</w:t>
      </w:r>
      <w:r>
        <w:rPr>
          <w:lang w:val="fr-CA"/>
        </w:rPr>
        <w:t xml:space="preserve">. Il </w:t>
      </w:r>
      <w:r w:rsidRPr="00683937">
        <w:rPr>
          <w:lang w:val="fr-CA"/>
        </w:rPr>
        <w:t>surveille le rendement du personnel de quart et en assure la supervision</w:t>
      </w:r>
      <w:bookmarkEnd w:id="39"/>
      <w:r w:rsidRPr="00683937">
        <w:rPr>
          <w:lang w:val="fr-CA"/>
        </w:rPr>
        <w:t xml:space="preserve"> et oriente le contrôle de l’exploitation et de l’entretien de l’installation conformément aux limites et conditions d’exploitation (LCE) et aux procédures approuvées.</w:t>
      </w:r>
    </w:p>
    <w:p w14:paraId="13723DD4" w14:textId="77777777" w:rsidR="00E96362" w:rsidRPr="00683937" w:rsidRDefault="00E96362" w:rsidP="00E96362">
      <w:pPr>
        <w:pStyle w:val="HeadingRequirementsorGuidanceLabel"/>
        <w:rPr>
          <w:lang w:val="fr-CA"/>
        </w:rPr>
      </w:pPr>
      <w:bookmarkStart w:id="40" w:name="_Toc140068979"/>
      <w:r w:rsidRPr="00683937">
        <w:rPr>
          <w:lang w:val="fr-CA"/>
        </w:rPr>
        <w:t>Exigences</w:t>
      </w:r>
      <w:bookmarkEnd w:id="40"/>
    </w:p>
    <w:p w14:paraId="20BABABF" w14:textId="77777777" w:rsidR="00E96362" w:rsidRPr="00683937" w:rsidRDefault="00E96362" w:rsidP="00E96362">
      <w:pPr>
        <w:pStyle w:val="BodyText"/>
        <w:rPr>
          <w:lang w:val="fr-CA"/>
        </w:rPr>
      </w:pPr>
      <w:r w:rsidRPr="00683937">
        <w:rPr>
          <w:lang w:val="fr-CA"/>
        </w:rPr>
        <w:t xml:space="preserve">Le titulaire de permis doit disposer de processus gérés permettant de sélectionner des candidats appropriés pour s’assurer que les travailleurs (dont les personnes qui occupent des postes de cadre supérieur en matière d’exploitation et qui sont investies de responsabilités décisionnelles au chapitre de la sûreté et </w:t>
      </w:r>
      <w:r>
        <w:rPr>
          <w:lang w:val="fr-CA"/>
        </w:rPr>
        <w:t xml:space="preserve">en matière </w:t>
      </w:r>
      <w:r w:rsidRPr="00683937">
        <w:rPr>
          <w:lang w:val="fr-CA"/>
        </w:rPr>
        <w:t>de permis) possèdent les qualifications et ont suivi la formation qu’exige le poste.</w:t>
      </w:r>
    </w:p>
    <w:p w14:paraId="369AE4DD" w14:textId="77777777" w:rsidR="00E96362" w:rsidRPr="00683937" w:rsidRDefault="00E96362" w:rsidP="00E96362">
      <w:pPr>
        <w:pStyle w:val="BodyText"/>
        <w:rPr>
          <w:lang w:val="fr-CA"/>
        </w:rPr>
      </w:pPr>
      <w:r w:rsidRPr="00683937">
        <w:rPr>
          <w:lang w:val="fr-CA"/>
        </w:rPr>
        <w:t xml:space="preserve">Le titulaire de permis doit considérer les gestionnaires de service des opérations comme ses mandataires et, ainsi que l’exige l’article 15 du </w:t>
      </w:r>
      <w:r w:rsidRPr="00683937">
        <w:rPr>
          <w:i/>
          <w:iCs/>
          <w:lang w:val="fr-CA"/>
        </w:rPr>
        <w:t>Règlement général sur la sûreté et la réglementation nucléaires</w:t>
      </w:r>
      <w:r w:rsidRPr="00683937">
        <w:rPr>
          <w:lang w:val="fr-CA"/>
        </w:rPr>
        <w:t>, aviser la CCSN des noms et coordonnées de chaque membre du personnel désigné comme gestionnaire de service des opérations.</w:t>
      </w:r>
    </w:p>
    <w:p w14:paraId="6F4AC3F4" w14:textId="77777777" w:rsidR="00E96362" w:rsidRPr="00683937" w:rsidRDefault="00E96362" w:rsidP="00E96362">
      <w:pPr>
        <w:pStyle w:val="BodyText"/>
        <w:rPr>
          <w:lang w:val="fr-CA"/>
        </w:rPr>
      </w:pPr>
      <w:r w:rsidRPr="00683937">
        <w:rPr>
          <w:lang w:val="fr-CA"/>
        </w:rPr>
        <w:t>Le titulaire de permis doit établir les attentes, les qualifications, les rôles et responsabilités de même que la chaîne de communication applicables aux gestionnaires de service des opérations. Ces derniers doivent comprendre les exigences réglementaires applicables à l’installation dotée de réacteurs et doivent démontrer leur engagement à l’égard de l’exploitation en toute sûreté de l’installation.</w:t>
      </w:r>
    </w:p>
    <w:p w14:paraId="224C6765" w14:textId="77777777" w:rsidR="00E96362" w:rsidRPr="00683937" w:rsidRDefault="00E96362" w:rsidP="00E96362">
      <w:pPr>
        <w:pStyle w:val="BodyText"/>
        <w:keepNext/>
        <w:spacing w:after="0"/>
        <w:rPr>
          <w:lang w:val="fr-CA"/>
        </w:rPr>
      </w:pPr>
      <w:r w:rsidRPr="00683937">
        <w:rPr>
          <w:lang w:val="fr-CA"/>
        </w:rPr>
        <w:t>Lorsqu’ils sont de service, les gestionnaires de service des opérations doivent s’acquitter des responsabilités suivantes :</w:t>
      </w:r>
    </w:p>
    <w:p w14:paraId="68275BFD" w14:textId="77777777" w:rsidR="00E96362" w:rsidRPr="00683937" w:rsidRDefault="00E96362" w:rsidP="00E96362">
      <w:pPr>
        <w:pStyle w:val="BulletList"/>
        <w:keepNext/>
        <w:numPr>
          <w:ilvl w:val="0"/>
          <w:numId w:val="8"/>
        </w:numPr>
        <w:ind w:left="1080"/>
        <w:rPr>
          <w:lang w:val="fr-CA"/>
        </w:rPr>
      </w:pPr>
      <w:r>
        <w:rPr>
          <w:lang w:val="fr-CA"/>
        </w:rPr>
        <w:t>c</w:t>
      </w:r>
      <w:r w:rsidRPr="00683937">
        <w:rPr>
          <w:lang w:val="fr-CA"/>
        </w:rPr>
        <w:t xml:space="preserve">oordonner les activités de l’installation conformément à la politique de gouvernance de l’installation </w:t>
      </w:r>
    </w:p>
    <w:p w14:paraId="4900F1FE" w14:textId="77777777" w:rsidR="00E96362" w:rsidRPr="00683937" w:rsidRDefault="00E96362" w:rsidP="00E96362">
      <w:pPr>
        <w:pStyle w:val="BulletList"/>
        <w:numPr>
          <w:ilvl w:val="0"/>
          <w:numId w:val="8"/>
        </w:numPr>
        <w:ind w:left="1080"/>
        <w:rPr>
          <w:lang w:val="fr-CA"/>
        </w:rPr>
      </w:pPr>
      <w:r>
        <w:rPr>
          <w:lang w:val="fr-CA"/>
        </w:rPr>
        <w:t>ê</w:t>
      </w:r>
      <w:r w:rsidRPr="00683937">
        <w:rPr>
          <w:lang w:val="fr-CA"/>
        </w:rPr>
        <w:t>tre disponibles de manière continue (en étant soit sur le site</w:t>
      </w:r>
      <w:r>
        <w:rPr>
          <w:lang w:val="fr-CA"/>
        </w:rPr>
        <w:t>,</w:t>
      </w:r>
      <w:r w:rsidRPr="00683937">
        <w:rPr>
          <w:lang w:val="fr-CA"/>
        </w:rPr>
        <w:t xml:space="preserve"> soit </w:t>
      </w:r>
      <w:r>
        <w:rPr>
          <w:lang w:val="fr-CA"/>
        </w:rPr>
        <w:t>sur appel</w:t>
      </w:r>
      <w:r w:rsidRPr="00683937">
        <w:rPr>
          <w:lang w:val="fr-CA"/>
        </w:rPr>
        <w:t>) pour appuyer l’exploitation de l’installation en toute sûreté; lorsqu’ils ne sont pas sur le site, ils doivent être en mesure de s’y rendre dans un délai prédéterminé</w:t>
      </w:r>
    </w:p>
    <w:p w14:paraId="44508B7E" w14:textId="77777777" w:rsidR="00E96362" w:rsidRPr="00683937" w:rsidRDefault="00E96362" w:rsidP="00E96362">
      <w:pPr>
        <w:pStyle w:val="BulletList"/>
        <w:numPr>
          <w:ilvl w:val="0"/>
          <w:numId w:val="8"/>
        </w:numPr>
        <w:ind w:left="1080"/>
        <w:rPr>
          <w:lang w:val="fr-CA"/>
        </w:rPr>
      </w:pPr>
      <w:r>
        <w:rPr>
          <w:lang w:val="fr-CA"/>
        </w:rPr>
        <w:t>ê</w:t>
      </w:r>
      <w:r w:rsidRPr="00683937">
        <w:rPr>
          <w:lang w:val="fr-CA"/>
        </w:rPr>
        <w:t>tre au fait de l’état actuel de l’installation et des tranches; plus précisément, de toute difficulté opérationnelle ou en matière de sûreté</w:t>
      </w:r>
    </w:p>
    <w:p w14:paraId="61044207" w14:textId="77777777" w:rsidR="00E96362" w:rsidRPr="00683937" w:rsidRDefault="00E96362" w:rsidP="00E96362">
      <w:pPr>
        <w:pStyle w:val="BulletList"/>
        <w:numPr>
          <w:ilvl w:val="0"/>
          <w:numId w:val="8"/>
        </w:numPr>
        <w:ind w:left="1080"/>
        <w:rPr>
          <w:lang w:val="fr-CA"/>
        </w:rPr>
      </w:pPr>
      <w:r>
        <w:rPr>
          <w:lang w:val="fr-CA"/>
        </w:rPr>
        <w:t>ê</w:t>
      </w:r>
      <w:r w:rsidRPr="00683937">
        <w:rPr>
          <w:lang w:val="fr-CA"/>
        </w:rPr>
        <w:t>tre à même d’intervenir en cas d’événement et d’ordonner au personnel d’exécuter des procédures approuvées</w:t>
      </w:r>
    </w:p>
    <w:p w14:paraId="7B65FDE7" w14:textId="77777777" w:rsidR="00E96362" w:rsidRPr="00683937" w:rsidRDefault="00E96362" w:rsidP="00E96362">
      <w:pPr>
        <w:pStyle w:val="BulletList"/>
        <w:keepNext/>
        <w:numPr>
          <w:ilvl w:val="0"/>
          <w:numId w:val="8"/>
        </w:numPr>
        <w:ind w:left="1077" w:hanging="357"/>
        <w:rPr>
          <w:lang w:val="fr-CA"/>
        </w:rPr>
      </w:pPr>
      <w:r>
        <w:rPr>
          <w:lang w:val="fr-CA"/>
        </w:rPr>
        <w:t>p</w:t>
      </w:r>
      <w:r w:rsidRPr="00683937">
        <w:rPr>
          <w:lang w:val="fr-CA"/>
        </w:rPr>
        <w:t>rendre des décisions justifiées ainsi que des mesures sécuritaires et prudentes (au besoin, en consultation avec un autre gestionnaire de service ou gestionnaire principal de l’installation)</w:t>
      </w:r>
    </w:p>
    <w:p w14:paraId="12CA6E52" w14:textId="77777777" w:rsidR="00E96362" w:rsidRPr="00683937" w:rsidRDefault="00E96362" w:rsidP="00E96362">
      <w:pPr>
        <w:pStyle w:val="BulletListLastItem"/>
        <w:numPr>
          <w:ilvl w:val="0"/>
          <w:numId w:val="8"/>
        </w:numPr>
        <w:ind w:left="1080"/>
        <w:rPr>
          <w:lang w:val="fr-CA"/>
        </w:rPr>
      </w:pPr>
      <w:r>
        <w:rPr>
          <w:lang w:val="fr-CA"/>
        </w:rPr>
        <w:t>e</w:t>
      </w:r>
      <w:r w:rsidRPr="00683937">
        <w:rPr>
          <w:lang w:val="fr-CA"/>
        </w:rPr>
        <w:t>xécuter d’autres tâches, suivant les besoins</w:t>
      </w:r>
    </w:p>
    <w:p w14:paraId="7AF70CBD" w14:textId="77777777" w:rsidR="00E96362" w:rsidRPr="00683937" w:rsidRDefault="00E96362" w:rsidP="00E96362">
      <w:pPr>
        <w:pStyle w:val="HeadingRequirementsorGuidanceLabel"/>
        <w:rPr>
          <w:lang w:val="fr-CA"/>
        </w:rPr>
      </w:pPr>
      <w:bookmarkStart w:id="41" w:name="_Toc140068980"/>
      <w:r w:rsidRPr="00683937">
        <w:rPr>
          <w:lang w:val="fr-CA"/>
        </w:rPr>
        <w:t>Orientation</w:t>
      </w:r>
      <w:bookmarkEnd w:id="41"/>
    </w:p>
    <w:p w14:paraId="72B09D67" w14:textId="77777777" w:rsidR="00E96362" w:rsidRPr="00683937" w:rsidRDefault="00E96362" w:rsidP="00E96362">
      <w:pPr>
        <w:pStyle w:val="BodyText"/>
        <w:rPr>
          <w:lang w:val="fr-CA"/>
        </w:rPr>
      </w:pPr>
      <w:r w:rsidRPr="00683937">
        <w:rPr>
          <w:lang w:val="fr-CA"/>
        </w:rPr>
        <w:t>Le titulaire de permis d</w:t>
      </w:r>
      <w:r>
        <w:rPr>
          <w:lang w:val="fr-CA"/>
        </w:rPr>
        <w:t>evrait</w:t>
      </w:r>
      <w:r w:rsidRPr="00683937">
        <w:rPr>
          <w:lang w:val="fr-CA"/>
        </w:rPr>
        <w:t xml:space="preserve"> s’assurer que toutes les responsabilités raisonnables des gestionnaires de service des opérations sont documentées et exercées.</w:t>
      </w:r>
    </w:p>
    <w:p w14:paraId="7C93643D" w14:textId="77777777" w:rsidR="00E96362" w:rsidRPr="00683937" w:rsidRDefault="00E96362" w:rsidP="00E96362">
      <w:pPr>
        <w:pStyle w:val="BodyText"/>
        <w:keepNext/>
        <w:spacing w:after="0"/>
        <w:rPr>
          <w:lang w:val="fr-CA"/>
        </w:rPr>
      </w:pPr>
      <w:r w:rsidRPr="00683937">
        <w:rPr>
          <w:lang w:val="fr-CA"/>
        </w:rPr>
        <w:t>Le gestionnaire de service des opérations devrait avoir, au minimum, les qualifications suivantes :</w:t>
      </w:r>
    </w:p>
    <w:p w14:paraId="3D7960B0" w14:textId="77777777" w:rsidR="00E96362" w:rsidRPr="00683937" w:rsidRDefault="00E96362" w:rsidP="00E96362">
      <w:pPr>
        <w:pStyle w:val="BulletList"/>
        <w:keepNext/>
        <w:numPr>
          <w:ilvl w:val="0"/>
          <w:numId w:val="8"/>
        </w:numPr>
        <w:ind w:left="1080"/>
        <w:rPr>
          <w:lang w:val="fr-CA"/>
        </w:rPr>
      </w:pPr>
      <w:r>
        <w:rPr>
          <w:lang w:val="fr-CA"/>
        </w:rPr>
        <w:t>u</w:t>
      </w:r>
      <w:r w:rsidRPr="00683937">
        <w:rPr>
          <w:lang w:val="fr-CA"/>
        </w:rPr>
        <w:t>ne vaste expérience de l’exploitation du type de réacteur dont est dotée l’installation</w:t>
      </w:r>
    </w:p>
    <w:p w14:paraId="747F0265" w14:textId="77777777" w:rsidR="00E96362" w:rsidRPr="00683937" w:rsidRDefault="00E96362" w:rsidP="00E96362">
      <w:pPr>
        <w:pStyle w:val="BulletList"/>
        <w:numPr>
          <w:ilvl w:val="0"/>
          <w:numId w:val="8"/>
        </w:numPr>
        <w:ind w:left="1077" w:hanging="357"/>
        <w:rPr>
          <w:lang w:val="fr-CA"/>
        </w:rPr>
      </w:pPr>
      <w:r>
        <w:rPr>
          <w:lang w:val="fr-CA"/>
        </w:rPr>
        <w:t>u</w:t>
      </w:r>
      <w:r w:rsidRPr="00683937">
        <w:rPr>
          <w:lang w:val="fr-CA"/>
        </w:rPr>
        <w:t>ne connaissance technique de l’installation et de ses structures, systèmes et composants (SSC)</w:t>
      </w:r>
    </w:p>
    <w:p w14:paraId="478BE150" w14:textId="77777777" w:rsidR="00E96362" w:rsidRPr="00683937" w:rsidRDefault="00E96362" w:rsidP="00E96362">
      <w:pPr>
        <w:pStyle w:val="BulletList"/>
        <w:keepNext/>
        <w:numPr>
          <w:ilvl w:val="0"/>
          <w:numId w:val="8"/>
        </w:numPr>
        <w:ind w:left="1077" w:hanging="357"/>
        <w:rPr>
          <w:lang w:val="fr-CA"/>
        </w:rPr>
      </w:pPr>
      <w:r>
        <w:rPr>
          <w:lang w:val="fr-CA"/>
        </w:rPr>
        <w:t>u</w:t>
      </w:r>
      <w:r w:rsidRPr="00683937">
        <w:rPr>
          <w:lang w:val="fr-CA"/>
        </w:rPr>
        <w:t>ne connaissance approfondie de la LSRN et des règlements pris en vertu de celle-ci</w:t>
      </w:r>
    </w:p>
    <w:p w14:paraId="5C4FA762"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orsqu’il est question d’une modification à la conception, à l’analyse de la sûreté ou aux paramètres d’exploitation sûre (PES), le gestionnaire de service sait quelles modifications nécessitent l’envoi d’un avis à l’organisme de réglementation ou l’obtention de l’approbation de celui</w:t>
      </w:r>
      <w:r w:rsidRPr="00683937">
        <w:rPr>
          <w:lang w:val="fr-CA"/>
        </w:rPr>
        <w:noBreakHyphen/>
        <w:t>ci (si la modification a une incidence sur le fondement d’autorisation)</w:t>
      </w:r>
    </w:p>
    <w:p w14:paraId="76D534F6" w14:textId="77777777" w:rsidR="00E96362" w:rsidRPr="00683937" w:rsidRDefault="00E96362" w:rsidP="00E96362">
      <w:pPr>
        <w:pStyle w:val="Heading4"/>
        <w:rPr>
          <w:lang w:val="fr-CA"/>
        </w:rPr>
      </w:pPr>
      <w:bookmarkStart w:id="42" w:name="_Toc126324262"/>
      <w:bookmarkStart w:id="43" w:name="_Toc140068981"/>
      <w:bookmarkStart w:id="44" w:name="_Toc146536189"/>
      <w:bookmarkStart w:id="45" w:name="_Toc149035706"/>
      <w:bookmarkStart w:id="46" w:name="_Toc152766290"/>
      <w:r w:rsidRPr="00683937">
        <w:rPr>
          <w:lang w:val="fr-CA"/>
        </w:rPr>
        <w:t>Prise de décisions en matière d’exploitation</w:t>
      </w:r>
      <w:bookmarkEnd w:id="42"/>
      <w:bookmarkEnd w:id="43"/>
      <w:bookmarkEnd w:id="44"/>
      <w:bookmarkEnd w:id="45"/>
      <w:bookmarkEnd w:id="46"/>
    </w:p>
    <w:p w14:paraId="6C5DC3D1" w14:textId="77777777" w:rsidR="00E96362" w:rsidRPr="00683937" w:rsidRDefault="00E96362" w:rsidP="00E96362">
      <w:pPr>
        <w:pStyle w:val="HeadingRequirementsorGuidanceLabel"/>
        <w:rPr>
          <w:lang w:val="fr-CA"/>
        </w:rPr>
      </w:pPr>
      <w:bookmarkStart w:id="47" w:name="_Toc140068982"/>
      <w:r w:rsidRPr="00683937">
        <w:rPr>
          <w:lang w:val="fr-CA"/>
        </w:rPr>
        <w:t>Exigences</w:t>
      </w:r>
      <w:bookmarkEnd w:id="47"/>
    </w:p>
    <w:p w14:paraId="642E0BE7" w14:textId="1ACA4064" w:rsidR="00E96362" w:rsidRPr="00683937" w:rsidRDefault="0041167D" w:rsidP="00E96362">
      <w:pPr>
        <w:pStyle w:val="BodyText"/>
        <w:rPr>
          <w:lang w:val="fr-CA"/>
        </w:rPr>
      </w:pPr>
      <w:r w:rsidRPr="00683937">
        <w:rPr>
          <w:lang w:val="fr-CA"/>
        </w:rPr>
        <w:t xml:space="preserve">Le titulaire de permis doit établir une méthode claire, systématique, opportune et prudente pour la </w:t>
      </w:r>
      <w:r w:rsidRPr="00C46F8C">
        <w:rPr>
          <w:lang w:val="fr-CA"/>
        </w:rPr>
        <w:t xml:space="preserve">prise de décisions concernant la sûreté nucléaire, la sécurité du personnel, l’environnement et </w:t>
      </w:r>
      <w:r>
        <w:rPr>
          <w:lang w:val="fr-CA"/>
        </w:rPr>
        <w:t>les activités de l’installation</w:t>
      </w:r>
      <w:r w:rsidRPr="00C46F8C">
        <w:rPr>
          <w:lang w:val="fr-CA"/>
        </w:rPr>
        <w:t xml:space="preserve"> (</w:t>
      </w:r>
      <w:r>
        <w:rPr>
          <w:lang w:val="fr-CA"/>
        </w:rPr>
        <w:t>y compris</w:t>
      </w:r>
      <w:r w:rsidRPr="00C46F8C">
        <w:rPr>
          <w:lang w:val="fr-CA"/>
        </w:rPr>
        <w:t xml:space="preserve"> la fiabilité de l’installation, la gestion des actifs et l’efficacité opérationnelle).</w:t>
      </w:r>
    </w:p>
    <w:p w14:paraId="558B9B2C" w14:textId="77777777" w:rsidR="00E96362" w:rsidRPr="00683937" w:rsidRDefault="00E96362" w:rsidP="00E96362">
      <w:pPr>
        <w:pStyle w:val="BodyText"/>
        <w:rPr>
          <w:lang w:val="fr-CA"/>
        </w:rPr>
      </w:pPr>
      <w:r w:rsidRPr="00683937">
        <w:rPr>
          <w:lang w:val="fr-CA"/>
        </w:rPr>
        <w:t xml:space="preserve">Le titulaire de permis doit s’assurer de mettre en place des processus pour fournir de l’information au personnel d’exploitation compétent en vue de la formulation de recommandations et de la prise de décisions. </w:t>
      </w:r>
    </w:p>
    <w:p w14:paraId="67CCC34B" w14:textId="77777777" w:rsidR="00E96362" w:rsidRPr="00683937" w:rsidRDefault="00E96362" w:rsidP="00E96362">
      <w:pPr>
        <w:pStyle w:val="BodyText"/>
        <w:rPr>
          <w:lang w:val="fr-CA"/>
        </w:rPr>
      </w:pPr>
      <w:r w:rsidRPr="00683937">
        <w:rPr>
          <w:lang w:val="fr-CA"/>
        </w:rPr>
        <w:t>Le titulaire de permis doit établir les responsabilités et obligations des membres du personnel d’exploitation qui participent au processus décisionnel en matière d’exploitation.</w:t>
      </w:r>
    </w:p>
    <w:p w14:paraId="356D0C0F" w14:textId="77777777" w:rsidR="00E96362" w:rsidRPr="00683937" w:rsidRDefault="00E96362" w:rsidP="00E96362">
      <w:pPr>
        <w:pStyle w:val="BodyText"/>
        <w:rPr>
          <w:lang w:val="fr-CA"/>
        </w:rPr>
      </w:pPr>
      <w:r w:rsidRPr="00683937">
        <w:rPr>
          <w:lang w:val="fr-CA"/>
        </w:rPr>
        <w:t>Dans le cadre de son système de gestion, le titulaire de permis doit s’assurer que les décisions opérationnelles tenant compte du risque qui sont susceptibles d’avoir une incidence sur le réacteur ou les systèmes de soutien sont consignées.</w:t>
      </w:r>
    </w:p>
    <w:p w14:paraId="33745FEF" w14:textId="77777777" w:rsidR="00E96362" w:rsidRPr="00683937" w:rsidRDefault="00E96362" w:rsidP="00E96362">
      <w:pPr>
        <w:pStyle w:val="HeadingRequirementsorGuidanceLabel"/>
        <w:rPr>
          <w:lang w:val="fr-CA"/>
        </w:rPr>
      </w:pPr>
      <w:bookmarkStart w:id="48" w:name="_Toc140068983"/>
      <w:r w:rsidRPr="00683937">
        <w:rPr>
          <w:lang w:val="fr-CA"/>
        </w:rPr>
        <w:t>Orientation</w:t>
      </w:r>
      <w:bookmarkEnd w:id="48"/>
    </w:p>
    <w:p w14:paraId="12912E6A" w14:textId="77777777" w:rsidR="00E96362" w:rsidRPr="00683937" w:rsidRDefault="00E96362" w:rsidP="00E96362">
      <w:pPr>
        <w:pStyle w:val="BodyText"/>
        <w:rPr>
          <w:lang w:val="fr-CA"/>
        </w:rPr>
      </w:pPr>
      <w:r w:rsidRPr="00683937">
        <w:rPr>
          <w:lang w:val="fr-CA"/>
        </w:rPr>
        <w:t>Dans le cadre de son système de gestion, le titulaire de permis devrait s’assurer que d’autres décisions opérationnelles tenant compte du risque sont dûment consignées.</w:t>
      </w:r>
    </w:p>
    <w:p w14:paraId="1E2236A3" w14:textId="620E5B39" w:rsidR="00DC6D00" w:rsidRPr="009D7327" w:rsidRDefault="009D7327" w:rsidP="00DC6D00">
      <w:pPr>
        <w:pStyle w:val="BodyText"/>
        <w:keepNext/>
        <w:spacing w:after="0"/>
        <w:rPr>
          <w:lang w:val="fr-CA"/>
        </w:rPr>
      </w:pPr>
      <w:bookmarkStart w:id="49" w:name="_Hlk151454058"/>
      <w:r w:rsidRPr="00823CEA">
        <w:rPr>
          <w:lang w:val="fr-CA"/>
        </w:rPr>
        <w:t>Lors de la prise de décisions opérationnelles tenant compte du risque applicables à la sûreté nucléaire, le titulaire de permis devrait</w:t>
      </w:r>
      <w:r>
        <w:rPr>
          <w:lang w:val="fr-CA"/>
        </w:rPr>
        <w:t> </w:t>
      </w:r>
      <w:r w:rsidRPr="00823CEA">
        <w:rPr>
          <w:lang w:val="fr-CA"/>
        </w:rPr>
        <w:t>:</w:t>
      </w:r>
    </w:p>
    <w:p w14:paraId="2196D2EC" w14:textId="272FB7E3" w:rsidR="00DC6D00" w:rsidRPr="009D7327" w:rsidRDefault="009D7327" w:rsidP="00DC6D00">
      <w:pPr>
        <w:pStyle w:val="BulletList"/>
        <w:keepNext/>
        <w:numPr>
          <w:ilvl w:val="0"/>
          <w:numId w:val="8"/>
        </w:numPr>
        <w:ind w:left="1080"/>
        <w:rPr>
          <w:lang w:val="fr-CA"/>
        </w:rPr>
      </w:pPr>
      <w:r w:rsidRPr="00823CEA">
        <w:rPr>
          <w:lang w:val="fr-CA"/>
        </w:rPr>
        <w:t>déterminer si le changement a une incidence sur son fondement d</w:t>
      </w:r>
      <w:r>
        <w:rPr>
          <w:lang w:val="fr-CA"/>
        </w:rPr>
        <w:t>’</w:t>
      </w:r>
      <w:r w:rsidRPr="00823CEA">
        <w:rPr>
          <w:lang w:val="fr-CA"/>
        </w:rPr>
        <w:t>autorisation</w:t>
      </w:r>
    </w:p>
    <w:p w14:paraId="32267B0E" w14:textId="3CA8C8D3" w:rsidR="00DC6D00" w:rsidRPr="009D7327" w:rsidRDefault="009D7327" w:rsidP="00DC6D00">
      <w:pPr>
        <w:pStyle w:val="BulletList"/>
        <w:numPr>
          <w:ilvl w:val="0"/>
          <w:numId w:val="8"/>
        </w:numPr>
        <w:ind w:left="1080"/>
        <w:rPr>
          <w:lang w:val="fr-CA"/>
        </w:rPr>
      </w:pPr>
      <w:r w:rsidRPr="00823CEA">
        <w:rPr>
          <w:lang w:val="fr-CA"/>
        </w:rPr>
        <w:t>s</w:t>
      </w:r>
      <w:r>
        <w:rPr>
          <w:lang w:val="fr-CA"/>
        </w:rPr>
        <w:t>’</w:t>
      </w:r>
      <w:r w:rsidRPr="00823CEA">
        <w:rPr>
          <w:lang w:val="fr-CA"/>
        </w:rPr>
        <w:t>assurer que la défense en profondeur est maintenue (pour plus d</w:t>
      </w:r>
      <w:r>
        <w:rPr>
          <w:lang w:val="fr-CA"/>
        </w:rPr>
        <w:t>’</w:t>
      </w:r>
      <w:r w:rsidRPr="00823CEA">
        <w:rPr>
          <w:lang w:val="fr-CA"/>
        </w:rPr>
        <w:t xml:space="preserve">information, </w:t>
      </w:r>
      <w:r>
        <w:rPr>
          <w:lang w:val="fr-CA"/>
        </w:rPr>
        <w:t xml:space="preserve">veuillez </w:t>
      </w:r>
      <w:r w:rsidRPr="00823CEA">
        <w:rPr>
          <w:lang w:val="fr-CA"/>
        </w:rPr>
        <w:t>consulter le REGDOC</w:t>
      </w:r>
      <w:r>
        <w:rPr>
          <w:lang w:val="fr-CA"/>
        </w:rPr>
        <w:noBreakHyphen/>
      </w:r>
      <w:r w:rsidRPr="00823CEA">
        <w:rPr>
          <w:lang w:val="fr-CA"/>
        </w:rPr>
        <w:t xml:space="preserve">2.5.2, </w:t>
      </w:r>
      <w:r w:rsidRPr="009D7327">
        <w:rPr>
          <w:i/>
          <w:iCs/>
          <w:lang w:val="fr-CA"/>
        </w:rPr>
        <w:t>Conception des installations dotées de réacteurs</w:t>
      </w:r>
      <w:r>
        <w:rPr>
          <w:lang w:val="fr-CA"/>
        </w:rPr>
        <w:t> </w:t>
      </w:r>
      <w:r w:rsidRPr="00823CEA">
        <w:rPr>
          <w:lang w:val="fr-CA"/>
        </w:rPr>
        <w:t>[11])</w:t>
      </w:r>
    </w:p>
    <w:p w14:paraId="094BA154" w14:textId="197969CE" w:rsidR="00DC6D00" w:rsidRPr="009D7327" w:rsidRDefault="009D7327" w:rsidP="00DC6D00">
      <w:pPr>
        <w:pStyle w:val="BulletList"/>
        <w:numPr>
          <w:ilvl w:val="0"/>
          <w:numId w:val="8"/>
        </w:numPr>
        <w:ind w:left="1080"/>
        <w:rPr>
          <w:lang w:val="fr-CA"/>
        </w:rPr>
      </w:pPr>
      <w:r w:rsidRPr="00D86A97">
        <w:rPr>
          <w:lang w:val="fr-CA"/>
        </w:rPr>
        <w:t>s</w:t>
      </w:r>
      <w:r>
        <w:rPr>
          <w:lang w:val="fr-CA"/>
        </w:rPr>
        <w:t>’</w:t>
      </w:r>
      <w:r w:rsidRPr="00D86A97">
        <w:rPr>
          <w:lang w:val="fr-CA"/>
        </w:rPr>
        <w:t>assurer que les marges de sûreté sont maintenues (pour plus d</w:t>
      </w:r>
      <w:r>
        <w:rPr>
          <w:lang w:val="fr-CA"/>
        </w:rPr>
        <w:t>’</w:t>
      </w:r>
      <w:r w:rsidRPr="00D86A97">
        <w:rPr>
          <w:lang w:val="fr-CA"/>
        </w:rPr>
        <w:t xml:space="preserve">information, </w:t>
      </w:r>
      <w:r>
        <w:rPr>
          <w:lang w:val="fr-CA"/>
        </w:rPr>
        <w:t>veuillez consulter le</w:t>
      </w:r>
      <w:r w:rsidR="00DC6D00" w:rsidRPr="009D7327">
        <w:rPr>
          <w:lang w:val="fr-CA"/>
        </w:rPr>
        <w:t xml:space="preserve"> REGDOC</w:t>
      </w:r>
      <w:r w:rsidR="00DC6D00" w:rsidRPr="009D7327">
        <w:rPr>
          <w:lang w:val="fr-CA"/>
        </w:rPr>
        <w:noBreakHyphen/>
        <w:t>2.5.2 [11])</w:t>
      </w:r>
    </w:p>
    <w:p w14:paraId="3578D3CE" w14:textId="6A417806" w:rsidR="00DC6D00" w:rsidRPr="009D7327" w:rsidRDefault="009D7327" w:rsidP="00DC6D00">
      <w:pPr>
        <w:pStyle w:val="BulletList"/>
        <w:numPr>
          <w:ilvl w:val="0"/>
          <w:numId w:val="8"/>
        </w:numPr>
        <w:ind w:left="1080"/>
        <w:rPr>
          <w:lang w:val="fr-CA"/>
        </w:rPr>
      </w:pPr>
      <w:r w:rsidRPr="00D86A97">
        <w:rPr>
          <w:lang w:val="fr-CA"/>
        </w:rPr>
        <w:t xml:space="preserve">déterminer si le risque est réduit ou demeure le même, ou si le changement </w:t>
      </w:r>
      <w:r>
        <w:rPr>
          <w:lang w:val="fr-CA"/>
        </w:rPr>
        <w:t xml:space="preserve">relatif au </w:t>
      </w:r>
      <w:r w:rsidRPr="00D86A97">
        <w:rPr>
          <w:lang w:val="fr-CA"/>
        </w:rPr>
        <w:t>risque est faible (pour plus d</w:t>
      </w:r>
      <w:r>
        <w:rPr>
          <w:lang w:val="fr-CA"/>
        </w:rPr>
        <w:t>’</w:t>
      </w:r>
      <w:r w:rsidRPr="00D86A97">
        <w:rPr>
          <w:lang w:val="fr-CA"/>
        </w:rPr>
        <w:t xml:space="preserve">information, </w:t>
      </w:r>
      <w:r>
        <w:rPr>
          <w:lang w:val="fr-CA"/>
        </w:rPr>
        <w:t xml:space="preserve">veuillez consulter </w:t>
      </w:r>
      <w:r w:rsidRPr="00D86A97">
        <w:rPr>
          <w:lang w:val="fr-CA"/>
        </w:rPr>
        <w:t>le document INSAG</w:t>
      </w:r>
      <w:r>
        <w:rPr>
          <w:lang w:val="fr-CA"/>
        </w:rPr>
        <w:noBreakHyphen/>
      </w:r>
      <w:r w:rsidRPr="00D86A97">
        <w:rPr>
          <w:lang w:val="fr-CA"/>
        </w:rPr>
        <w:t xml:space="preserve">25, </w:t>
      </w:r>
      <w:r w:rsidRPr="00D86A97">
        <w:rPr>
          <w:i/>
          <w:iCs/>
          <w:lang w:val="fr-CA"/>
        </w:rPr>
        <w:t>A Framework for an Integrated Risk Informed Decision Making Process</w:t>
      </w:r>
      <w:r>
        <w:rPr>
          <w:lang w:val="fr-CA"/>
        </w:rPr>
        <w:t> </w:t>
      </w:r>
      <w:r w:rsidRPr="00D86A97">
        <w:rPr>
          <w:lang w:val="fr-CA"/>
        </w:rPr>
        <w:t>[12] de l</w:t>
      </w:r>
      <w:r>
        <w:rPr>
          <w:lang w:val="fr-CA"/>
        </w:rPr>
        <w:t>’</w:t>
      </w:r>
      <w:r w:rsidRPr="00D86A97">
        <w:rPr>
          <w:lang w:val="fr-CA"/>
        </w:rPr>
        <w:t>AIEA)</w:t>
      </w:r>
    </w:p>
    <w:p w14:paraId="776259D4" w14:textId="169B019B" w:rsidR="00DC6D00" w:rsidRPr="009D7327" w:rsidRDefault="009D7327" w:rsidP="00DC6D00">
      <w:pPr>
        <w:pStyle w:val="BulletList"/>
        <w:numPr>
          <w:ilvl w:val="0"/>
          <w:numId w:val="8"/>
        </w:numPr>
        <w:ind w:left="1080"/>
        <w:rPr>
          <w:lang w:val="fr-CA"/>
        </w:rPr>
      </w:pPr>
      <w:r w:rsidRPr="00D86A97">
        <w:rPr>
          <w:lang w:val="fr-CA"/>
        </w:rPr>
        <w:t>veiller à ce que les bonnes pratiques techniques et organisationnelles soient prises en compte (pour plus d</w:t>
      </w:r>
      <w:r>
        <w:rPr>
          <w:lang w:val="fr-CA"/>
        </w:rPr>
        <w:t>’</w:t>
      </w:r>
      <w:r w:rsidRPr="00D86A97">
        <w:rPr>
          <w:lang w:val="fr-CA"/>
        </w:rPr>
        <w:t xml:space="preserve">information, </w:t>
      </w:r>
      <w:r>
        <w:rPr>
          <w:lang w:val="fr-CA"/>
        </w:rPr>
        <w:t xml:space="preserve">veuillez consulter </w:t>
      </w:r>
      <w:r w:rsidRPr="00D86A97">
        <w:rPr>
          <w:lang w:val="fr-CA"/>
        </w:rPr>
        <w:t>le document INSAG</w:t>
      </w:r>
      <w:r>
        <w:rPr>
          <w:lang w:val="fr-CA"/>
        </w:rPr>
        <w:noBreakHyphen/>
      </w:r>
      <w:r w:rsidRPr="00D86A97">
        <w:rPr>
          <w:lang w:val="fr-CA"/>
        </w:rPr>
        <w:t>25</w:t>
      </w:r>
      <w:r>
        <w:rPr>
          <w:lang w:val="fr-CA"/>
        </w:rPr>
        <w:t> </w:t>
      </w:r>
      <w:r w:rsidRPr="00D86A97">
        <w:rPr>
          <w:lang w:val="fr-CA"/>
        </w:rPr>
        <w:t>[12] de l</w:t>
      </w:r>
      <w:r>
        <w:rPr>
          <w:lang w:val="fr-CA"/>
        </w:rPr>
        <w:t>’</w:t>
      </w:r>
      <w:r w:rsidRPr="00D86A97">
        <w:rPr>
          <w:lang w:val="fr-CA"/>
        </w:rPr>
        <w:t>AIEA)</w:t>
      </w:r>
    </w:p>
    <w:p w14:paraId="131D0B9C" w14:textId="288748C0" w:rsidR="00DC6D00" w:rsidRPr="009D7327" w:rsidRDefault="009D7327" w:rsidP="00DC6D00">
      <w:pPr>
        <w:pStyle w:val="BulletList"/>
        <w:numPr>
          <w:ilvl w:val="0"/>
          <w:numId w:val="8"/>
        </w:numPr>
        <w:ind w:left="1080"/>
        <w:rPr>
          <w:lang w:val="fr-CA"/>
        </w:rPr>
      </w:pPr>
      <w:r w:rsidRPr="00D86A97">
        <w:rPr>
          <w:lang w:val="fr-CA"/>
        </w:rPr>
        <w:t>prendre en compte les méthodologies de pointe et l</w:t>
      </w:r>
      <w:r>
        <w:rPr>
          <w:lang w:val="fr-CA"/>
        </w:rPr>
        <w:t>’</w:t>
      </w:r>
      <w:r w:rsidRPr="00D86A97">
        <w:rPr>
          <w:lang w:val="fr-CA"/>
        </w:rPr>
        <w:t>expérience d</w:t>
      </w:r>
      <w:r>
        <w:rPr>
          <w:lang w:val="fr-CA"/>
        </w:rPr>
        <w:t>’</w:t>
      </w:r>
      <w:r w:rsidRPr="00D86A97">
        <w:rPr>
          <w:lang w:val="fr-CA"/>
        </w:rPr>
        <w:t>exploitation (OPEX) (pour plus d</w:t>
      </w:r>
      <w:r>
        <w:rPr>
          <w:lang w:val="fr-CA"/>
        </w:rPr>
        <w:t>’</w:t>
      </w:r>
      <w:r w:rsidRPr="00D86A97">
        <w:rPr>
          <w:lang w:val="fr-CA"/>
        </w:rPr>
        <w:t xml:space="preserve">information, </w:t>
      </w:r>
      <w:r>
        <w:rPr>
          <w:lang w:val="fr-CA"/>
        </w:rPr>
        <w:t>veuillez consulter</w:t>
      </w:r>
      <w:r w:rsidRPr="00D86A97">
        <w:rPr>
          <w:lang w:val="fr-CA"/>
        </w:rPr>
        <w:t xml:space="preserve"> le document INSAG</w:t>
      </w:r>
      <w:r>
        <w:rPr>
          <w:lang w:val="fr-CA"/>
        </w:rPr>
        <w:noBreakHyphen/>
      </w:r>
      <w:r w:rsidRPr="00D86A97">
        <w:rPr>
          <w:lang w:val="fr-CA"/>
        </w:rPr>
        <w:t>25</w:t>
      </w:r>
      <w:r>
        <w:rPr>
          <w:lang w:val="fr-CA"/>
        </w:rPr>
        <w:t> </w:t>
      </w:r>
      <w:r w:rsidRPr="00D86A97">
        <w:rPr>
          <w:lang w:val="fr-CA"/>
        </w:rPr>
        <w:t>[12] de l</w:t>
      </w:r>
      <w:r>
        <w:rPr>
          <w:lang w:val="fr-CA"/>
        </w:rPr>
        <w:t>’</w:t>
      </w:r>
      <w:r w:rsidRPr="00D86A97">
        <w:rPr>
          <w:lang w:val="fr-CA"/>
        </w:rPr>
        <w:t>AIEA)</w:t>
      </w:r>
    </w:p>
    <w:p w14:paraId="5C53213C" w14:textId="64D9F5E4" w:rsidR="00DC6D00" w:rsidRPr="009D7327" w:rsidRDefault="009D7327" w:rsidP="00DC6D00">
      <w:pPr>
        <w:pStyle w:val="BulletListLastItem"/>
        <w:numPr>
          <w:ilvl w:val="0"/>
          <w:numId w:val="8"/>
        </w:numPr>
        <w:ind w:left="1080"/>
        <w:rPr>
          <w:lang w:val="fr-CA"/>
        </w:rPr>
      </w:pPr>
      <w:r w:rsidRPr="00D86A97">
        <w:rPr>
          <w:lang w:val="fr-CA"/>
        </w:rPr>
        <w:t>prendre en compte la sûreté et la sécurité (pour plus d</w:t>
      </w:r>
      <w:r>
        <w:rPr>
          <w:lang w:val="fr-CA"/>
        </w:rPr>
        <w:t>’</w:t>
      </w:r>
      <w:r w:rsidRPr="00D86A97">
        <w:rPr>
          <w:lang w:val="fr-CA"/>
        </w:rPr>
        <w:t xml:space="preserve">information, </w:t>
      </w:r>
      <w:r>
        <w:rPr>
          <w:lang w:val="fr-CA"/>
        </w:rPr>
        <w:t xml:space="preserve">veuillez consulter </w:t>
      </w:r>
      <w:r w:rsidRPr="00D86A97">
        <w:rPr>
          <w:lang w:val="fr-CA"/>
        </w:rPr>
        <w:t>le document INSAG</w:t>
      </w:r>
      <w:r>
        <w:rPr>
          <w:lang w:val="fr-CA"/>
        </w:rPr>
        <w:noBreakHyphen/>
      </w:r>
      <w:r w:rsidRPr="00D86A97">
        <w:rPr>
          <w:lang w:val="fr-CA"/>
        </w:rPr>
        <w:t>25</w:t>
      </w:r>
      <w:r>
        <w:rPr>
          <w:lang w:val="fr-CA"/>
        </w:rPr>
        <w:t> </w:t>
      </w:r>
      <w:r w:rsidRPr="00D86A97">
        <w:rPr>
          <w:lang w:val="fr-CA"/>
        </w:rPr>
        <w:t>[12] de l</w:t>
      </w:r>
      <w:r>
        <w:rPr>
          <w:lang w:val="fr-CA"/>
        </w:rPr>
        <w:t>’</w:t>
      </w:r>
      <w:r w:rsidRPr="00D86A97">
        <w:rPr>
          <w:lang w:val="fr-CA"/>
        </w:rPr>
        <w:t>AIEA)</w:t>
      </w:r>
    </w:p>
    <w:bookmarkEnd w:id="49"/>
    <w:p w14:paraId="66AE6322" w14:textId="77777777" w:rsidR="00E96362" w:rsidRPr="00683937" w:rsidRDefault="00E96362" w:rsidP="00E96362">
      <w:pPr>
        <w:pStyle w:val="BodyText"/>
        <w:rPr>
          <w:lang w:val="fr-CA"/>
        </w:rPr>
      </w:pPr>
      <w:r w:rsidRPr="00683937">
        <w:rPr>
          <w:lang w:val="fr-CA"/>
        </w:rPr>
        <w:t>Le titulaire de permis devrait cautionner et encourager la prise de décisions prudentes lorsque survient une situation qui n</w:t>
      </w:r>
      <w:r>
        <w:rPr>
          <w:lang w:val="fr-CA"/>
        </w:rPr>
        <w:t xml:space="preserve">e fait pas partie des </w:t>
      </w:r>
      <w:r w:rsidRPr="00683937">
        <w:rPr>
          <w:lang w:val="fr-CA"/>
        </w:rPr>
        <w:t>conditions d’exploitation normale. La prise de décisions prudentes en matière de gestion de la sûreté opérationnelle s’entend de la prise de décisions qui maintiennent, en tout temps, tous les niveaux de défense en profondeur.</w:t>
      </w:r>
    </w:p>
    <w:p w14:paraId="4B1E0C42" w14:textId="77777777" w:rsidR="00E96362" w:rsidRPr="00683937" w:rsidRDefault="00E96362" w:rsidP="00E96362">
      <w:pPr>
        <w:pStyle w:val="BodyText"/>
        <w:keepNext/>
        <w:spacing w:after="0"/>
        <w:rPr>
          <w:lang w:val="fr-CA"/>
        </w:rPr>
      </w:pPr>
      <w:r w:rsidRPr="00683937">
        <w:rPr>
          <w:lang w:val="fr-CA"/>
        </w:rPr>
        <w:t>Pour obtenir plus d’information :</w:t>
      </w:r>
    </w:p>
    <w:p w14:paraId="6CE059BE" w14:textId="10257136" w:rsidR="0075619F" w:rsidRDefault="00E96362" w:rsidP="00E96362">
      <w:pPr>
        <w:pStyle w:val="BulletList"/>
        <w:keepNext/>
        <w:numPr>
          <w:ilvl w:val="0"/>
          <w:numId w:val="8"/>
        </w:numPr>
        <w:ind w:left="1080"/>
        <w:rPr>
          <w:lang w:val="fr-CA"/>
        </w:rPr>
      </w:pPr>
      <w:r w:rsidRPr="00683937">
        <w:rPr>
          <w:lang w:val="fr-CA"/>
        </w:rPr>
        <w:t>sur la prise de décisions tenant compte du risque, veuillez consulter</w:t>
      </w:r>
      <w:r w:rsidR="0075619F">
        <w:rPr>
          <w:lang w:val="fr-CA"/>
        </w:rPr>
        <w:t> :</w:t>
      </w:r>
    </w:p>
    <w:p w14:paraId="0FE10747" w14:textId="61DD10ED" w:rsidR="00345B6F" w:rsidRDefault="00345B6F" w:rsidP="00345B6F">
      <w:pPr>
        <w:pStyle w:val="BulletListSub-item"/>
        <w:keepNext/>
        <w:numPr>
          <w:ilvl w:val="0"/>
          <w:numId w:val="7"/>
        </w:numPr>
        <w:ind w:left="1440"/>
        <w:rPr>
          <w:lang w:val="fr-CA"/>
        </w:rPr>
      </w:pPr>
      <w:r w:rsidRPr="00683937">
        <w:rPr>
          <w:lang w:val="fr-CA"/>
        </w:rPr>
        <w:t>le REGDOC</w:t>
      </w:r>
      <w:r w:rsidRPr="00683937">
        <w:rPr>
          <w:lang w:val="fr-CA"/>
        </w:rPr>
        <w:noBreakHyphen/>
        <w:t xml:space="preserve">3.5.3, </w:t>
      </w:r>
      <w:r w:rsidRPr="00683937">
        <w:rPr>
          <w:i/>
          <w:iCs/>
          <w:lang w:val="fr-CA"/>
        </w:rPr>
        <w:t>Principes fondamentaux de réglementation</w:t>
      </w:r>
      <w:r w:rsidRPr="00683937">
        <w:rPr>
          <w:lang w:val="fr-CA"/>
        </w:rPr>
        <w:t> [2]</w:t>
      </w:r>
    </w:p>
    <w:p w14:paraId="78DF3B1F" w14:textId="0B00F30A" w:rsidR="00345B6F" w:rsidRDefault="00345B6F" w:rsidP="00345B6F">
      <w:pPr>
        <w:pStyle w:val="BulletListSub-item"/>
        <w:keepNext/>
        <w:numPr>
          <w:ilvl w:val="0"/>
          <w:numId w:val="7"/>
        </w:numPr>
        <w:ind w:left="1440"/>
        <w:rPr>
          <w:lang w:val="fr-CA"/>
        </w:rPr>
      </w:pPr>
      <w:r w:rsidRPr="00683937">
        <w:rPr>
          <w:lang w:val="fr-CA"/>
        </w:rPr>
        <w:t xml:space="preserve">la norme CSA N290.19, </w:t>
      </w:r>
      <w:r w:rsidRPr="00683937">
        <w:rPr>
          <w:i/>
          <w:iCs/>
          <w:lang w:val="fr-CA"/>
        </w:rPr>
        <w:t>Processus décisionnel tenant compte du risque pour les centrales nucléaires</w:t>
      </w:r>
      <w:r w:rsidRPr="00683937">
        <w:rPr>
          <w:lang w:val="fr-CA"/>
        </w:rPr>
        <w:t> [1</w:t>
      </w:r>
      <w:r w:rsidR="008F2E90">
        <w:rPr>
          <w:lang w:val="fr-CA"/>
        </w:rPr>
        <w:t>3</w:t>
      </w:r>
      <w:r w:rsidRPr="00683937">
        <w:rPr>
          <w:lang w:val="fr-CA"/>
        </w:rPr>
        <w:t>]</w:t>
      </w:r>
    </w:p>
    <w:p w14:paraId="125CCA5C" w14:textId="7060FC6E" w:rsidR="00345B6F" w:rsidRPr="00345B6F" w:rsidRDefault="00345B6F" w:rsidP="00345B6F">
      <w:pPr>
        <w:pStyle w:val="BulletListSub-item"/>
        <w:keepNext/>
        <w:numPr>
          <w:ilvl w:val="0"/>
          <w:numId w:val="7"/>
        </w:numPr>
        <w:ind w:left="1440"/>
        <w:rPr>
          <w:lang w:val="en-CA"/>
        </w:rPr>
      </w:pPr>
      <w:r>
        <w:t>INSAG</w:t>
      </w:r>
      <w:r>
        <w:noBreakHyphen/>
        <w:t xml:space="preserve">25, </w:t>
      </w:r>
      <w:r w:rsidRPr="001001FE">
        <w:rPr>
          <w:i/>
          <w:iCs/>
        </w:rPr>
        <w:t>A Framework for an Integrated Risk Informed Decision Making Process</w:t>
      </w:r>
      <w:r>
        <w:t> [12]</w:t>
      </w:r>
      <w:r w:rsidR="009D7327">
        <w:t xml:space="preserve"> de l’AIEA</w:t>
      </w:r>
    </w:p>
    <w:p w14:paraId="6EC2662D" w14:textId="77777777" w:rsidR="00E96362" w:rsidRPr="00683937" w:rsidRDefault="00E96362" w:rsidP="00E96362">
      <w:pPr>
        <w:pStyle w:val="BulletListLastItem"/>
        <w:numPr>
          <w:ilvl w:val="0"/>
          <w:numId w:val="8"/>
        </w:numPr>
        <w:ind w:left="1080"/>
        <w:rPr>
          <w:lang w:val="fr-CA"/>
        </w:rPr>
      </w:pPr>
      <w:r w:rsidRPr="00683937">
        <w:rPr>
          <w:lang w:val="fr-CA"/>
        </w:rPr>
        <w:t xml:space="preserve">sur la communication, veuillez consulter la norme CSA N286, </w:t>
      </w:r>
      <w:r w:rsidRPr="00683937">
        <w:rPr>
          <w:i/>
          <w:iCs/>
          <w:lang w:val="fr-CA"/>
        </w:rPr>
        <w:t>Exigences relatives au système de gestion des installations nucléaires</w:t>
      </w:r>
      <w:r w:rsidRPr="00683937">
        <w:rPr>
          <w:lang w:val="fr-CA"/>
        </w:rPr>
        <w:t> [4]</w:t>
      </w:r>
    </w:p>
    <w:p w14:paraId="32D6B074" w14:textId="77777777" w:rsidR="00E96362" w:rsidRPr="00683937" w:rsidRDefault="00E96362" w:rsidP="00E96362">
      <w:pPr>
        <w:pStyle w:val="Heading2"/>
        <w:rPr>
          <w:lang w:val="fr-CA"/>
        </w:rPr>
      </w:pPr>
      <w:bookmarkStart w:id="50" w:name="_Toc126324263"/>
      <w:bookmarkStart w:id="51" w:name="_Toc140068984"/>
      <w:bookmarkStart w:id="52" w:name="_Toc140069134"/>
      <w:bookmarkStart w:id="53" w:name="_Toc140069177"/>
      <w:bookmarkStart w:id="54" w:name="_Toc152766291"/>
      <w:r>
        <w:rPr>
          <w:lang w:val="fr-CA"/>
        </w:rPr>
        <w:t>Réalisation des activités</w:t>
      </w:r>
      <w:r w:rsidRPr="00683937">
        <w:rPr>
          <w:lang w:val="fr-CA"/>
        </w:rPr>
        <w:t xml:space="preserve"> de l’installation</w:t>
      </w:r>
      <w:bookmarkEnd w:id="50"/>
      <w:bookmarkEnd w:id="51"/>
      <w:bookmarkEnd w:id="52"/>
      <w:bookmarkEnd w:id="53"/>
      <w:bookmarkEnd w:id="54"/>
    </w:p>
    <w:p w14:paraId="713C1F64" w14:textId="77777777" w:rsidR="00E96362" w:rsidRPr="00683937" w:rsidRDefault="00E96362" w:rsidP="00E96362">
      <w:pPr>
        <w:pStyle w:val="Heading3"/>
        <w:rPr>
          <w:lang w:val="fr-CA"/>
        </w:rPr>
      </w:pPr>
      <w:bookmarkStart w:id="55" w:name="_Toc126324264"/>
      <w:bookmarkStart w:id="56" w:name="_Toc140068985"/>
      <w:bookmarkStart w:id="57" w:name="_Toc140069135"/>
      <w:bookmarkStart w:id="58" w:name="_Toc140069178"/>
      <w:bookmarkStart w:id="59" w:name="_Toc152766292"/>
      <w:r w:rsidRPr="00683937">
        <w:rPr>
          <w:lang w:val="fr-CA"/>
        </w:rPr>
        <w:t>Contrôle de</w:t>
      </w:r>
      <w:r>
        <w:rPr>
          <w:lang w:val="fr-CA"/>
        </w:rPr>
        <w:t>s activités</w:t>
      </w:r>
      <w:r w:rsidRPr="00683937">
        <w:rPr>
          <w:lang w:val="fr-CA"/>
        </w:rPr>
        <w:t xml:space="preserve"> de l’installation</w:t>
      </w:r>
      <w:bookmarkEnd w:id="55"/>
      <w:bookmarkEnd w:id="56"/>
      <w:bookmarkEnd w:id="57"/>
      <w:bookmarkEnd w:id="58"/>
      <w:bookmarkEnd w:id="59"/>
    </w:p>
    <w:p w14:paraId="2A8D2395" w14:textId="77777777" w:rsidR="00E96362" w:rsidRPr="00683937" w:rsidRDefault="00E96362" w:rsidP="00E96362">
      <w:pPr>
        <w:pStyle w:val="HeadingRequirementsorGuidanceLabel"/>
        <w:rPr>
          <w:lang w:val="fr-CA"/>
        </w:rPr>
      </w:pPr>
      <w:bookmarkStart w:id="60" w:name="_Toc140068986"/>
      <w:r w:rsidRPr="00683937">
        <w:rPr>
          <w:lang w:val="fr-CA"/>
        </w:rPr>
        <w:t>Exigences</w:t>
      </w:r>
      <w:bookmarkEnd w:id="60"/>
    </w:p>
    <w:p w14:paraId="039AE678" w14:textId="77777777" w:rsidR="00E96362" w:rsidRPr="00683937" w:rsidRDefault="00E96362" w:rsidP="00E96362">
      <w:pPr>
        <w:pStyle w:val="BodyText"/>
        <w:keepNext/>
        <w:spacing w:after="0"/>
        <w:rPr>
          <w:lang w:val="fr-CA"/>
        </w:rPr>
      </w:pPr>
      <w:r w:rsidRPr="00683937">
        <w:rPr>
          <w:lang w:val="fr-CA"/>
        </w:rPr>
        <w:t xml:space="preserve">Le titulaire </w:t>
      </w:r>
      <w:r>
        <w:rPr>
          <w:lang w:val="fr-CA"/>
        </w:rPr>
        <w:t xml:space="preserve">de permis </w:t>
      </w:r>
      <w:r w:rsidRPr="00683937">
        <w:rPr>
          <w:lang w:val="fr-CA"/>
        </w:rPr>
        <w:t>doit établir et tenir à jour des dispositions concernant le contrôle de l’état de l’installation, notamment :</w:t>
      </w:r>
    </w:p>
    <w:p w14:paraId="68884D2D" w14:textId="77777777" w:rsidR="00E96362" w:rsidRPr="00683937" w:rsidRDefault="00E96362" w:rsidP="00E96362">
      <w:pPr>
        <w:pStyle w:val="BulletList"/>
        <w:keepNext/>
        <w:numPr>
          <w:ilvl w:val="0"/>
          <w:numId w:val="8"/>
        </w:numPr>
        <w:ind w:left="1080"/>
        <w:rPr>
          <w:lang w:val="fr-CA"/>
        </w:rPr>
      </w:pPr>
      <w:r w:rsidRPr="00683937">
        <w:rPr>
          <w:lang w:val="fr-CA"/>
        </w:rPr>
        <w:t>la surveillance de l’état des systèmes de l’installation</w:t>
      </w:r>
    </w:p>
    <w:p w14:paraId="5005B168" w14:textId="77777777" w:rsidR="00E96362" w:rsidRPr="00683937" w:rsidRDefault="00E96362" w:rsidP="00E96362">
      <w:pPr>
        <w:pStyle w:val="BulletList"/>
        <w:numPr>
          <w:ilvl w:val="0"/>
          <w:numId w:val="8"/>
        </w:numPr>
        <w:ind w:left="1080"/>
        <w:rPr>
          <w:lang w:val="fr-CA"/>
        </w:rPr>
      </w:pPr>
      <w:r w:rsidRPr="00683937">
        <w:rPr>
          <w:lang w:val="fr-CA"/>
        </w:rPr>
        <w:t xml:space="preserve">une vérification sur le terrain de la configuration des composants à position </w:t>
      </w:r>
      <w:r>
        <w:rPr>
          <w:lang w:val="fr-CA"/>
        </w:rPr>
        <w:t>garantie</w:t>
      </w:r>
      <w:r w:rsidRPr="00683937">
        <w:rPr>
          <w:lang w:val="fr-CA"/>
        </w:rPr>
        <w:t xml:space="preserve"> (par exemple, pour déterminer si des composants de ce type pourraient être fixés ou verrouillés de sorte à prévenir une perte de contrôle </w:t>
      </w:r>
      <w:r>
        <w:rPr>
          <w:lang w:val="fr-CA"/>
        </w:rPr>
        <w:t xml:space="preserve">de la </w:t>
      </w:r>
      <w:r w:rsidRPr="00683937">
        <w:rPr>
          <w:lang w:val="fr-CA"/>
        </w:rPr>
        <w:t>configuration par inadvertance)</w:t>
      </w:r>
    </w:p>
    <w:p w14:paraId="0573B881" w14:textId="77777777" w:rsidR="00E96362" w:rsidRPr="00683937" w:rsidRDefault="00E96362" w:rsidP="00E96362">
      <w:pPr>
        <w:pStyle w:val="BulletList"/>
        <w:numPr>
          <w:ilvl w:val="0"/>
          <w:numId w:val="8"/>
        </w:numPr>
        <w:ind w:left="1080"/>
        <w:rPr>
          <w:lang w:val="fr-CA"/>
        </w:rPr>
      </w:pPr>
      <w:r w:rsidRPr="00683937">
        <w:rPr>
          <w:lang w:val="fr-CA"/>
        </w:rPr>
        <w:t>la mise à jour de l’information sur l’état de l’équipement en temps utile</w:t>
      </w:r>
    </w:p>
    <w:p w14:paraId="4379D88C" w14:textId="77777777" w:rsidR="00E96362" w:rsidRPr="00683937" w:rsidRDefault="00E96362" w:rsidP="00E96362">
      <w:pPr>
        <w:pStyle w:val="BulletList"/>
        <w:numPr>
          <w:ilvl w:val="0"/>
          <w:numId w:val="8"/>
        </w:numPr>
        <w:ind w:left="1080"/>
        <w:rPr>
          <w:lang w:val="fr-CA"/>
        </w:rPr>
      </w:pPr>
      <w:r w:rsidRPr="00683937">
        <w:rPr>
          <w:lang w:val="fr-CA"/>
        </w:rPr>
        <w:t>la mise à l’essai en cours de processus</w:t>
      </w:r>
    </w:p>
    <w:p w14:paraId="347548BA" w14:textId="77777777" w:rsidR="00E96362" w:rsidRPr="00683937" w:rsidRDefault="00E96362" w:rsidP="00E96362">
      <w:pPr>
        <w:pStyle w:val="BulletList"/>
        <w:keepNext/>
        <w:numPr>
          <w:ilvl w:val="0"/>
          <w:numId w:val="8"/>
        </w:numPr>
        <w:ind w:left="1077" w:hanging="357"/>
        <w:rPr>
          <w:lang w:val="fr-CA"/>
        </w:rPr>
      </w:pPr>
      <w:r w:rsidRPr="00683937">
        <w:rPr>
          <w:lang w:val="fr-CA"/>
        </w:rPr>
        <w:t xml:space="preserve">la connaissance de l’état actuel des libérations actives et des limites de l’équipement dans l’ensemble des états de l’installation et des configurations </w:t>
      </w:r>
      <w:r>
        <w:rPr>
          <w:lang w:val="fr-CA"/>
        </w:rPr>
        <w:t>de fonctionnement</w:t>
      </w:r>
      <w:r w:rsidRPr="00683937">
        <w:rPr>
          <w:lang w:val="fr-CA"/>
        </w:rPr>
        <w:t xml:space="preserve"> (comme l’arrêt du réacteur, la production électrique, le rechargement du combustible, le démarrage, les états transitoires, l’entretien ou les arrêts, et les essais) en vue d’assurer le respect de ce qui suit :</w:t>
      </w:r>
    </w:p>
    <w:p w14:paraId="1273E78E" w14:textId="77777777" w:rsidR="00E96362" w:rsidRPr="00683937" w:rsidRDefault="00E96362" w:rsidP="00E96362">
      <w:pPr>
        <w:pStyle w:val="BulletListSub-item"/>
        <w:keepNext/>
        <w:numPr>
          <w:ilvl w:val="0"/>
          <w:numId w:val="7"/>
        </w:numPr>
        <w:ind w:left="1434" w:hanging="357"/>
        <w:rPr>
          <w:lang w:val="fr-CA"/>
        </w:rPr>
      </w:pPr>
      <w:r w:rsidRPr="00683937">
        <w:rPr>
          <w:lang w:val="fr-CA"/>
        </w:rPr>
        <w:t>Limites et conditions d’exploitation (LCE);</w:t>
      </w:r>
    </w:p>
    <w:p w14:paraId="03870037" w14:textId="77777777" w:rsidR="00E96362" w:rsidRPr="00683937" w:rsidRDefault="00E96362" w:rsidP="00E96362">
      <w:pPr>
        <w:pStyle w:val="BulletListSub-item"/>
        <w:numPr>
          <w:ilvl w:val="0"/>
          <w:numId w:val="7"/>
        </w:numPr>
        <w:ind w:left="1440"/>
        <w:rPr>
          <w:lang w:val="fr-CA"/>
        </w:rPr>
      </w:pPr>
      <w:r w:rsidRPr="00683937">
        <w:rPr>
          <w:lang w:val="fr-CA"/>
        </w:rPr>
        <w:t xml:space="preserve">Exigences de conception; </w:t>
      </w:r>
    </w:p>
    <w:p w14:paraId="6D1FF859" w14:textId="77777777" w:rsidR="00E96362" w:rsidRPr="00683937" w:rsidRDefault="00E96362" w:rsidP="00E96362">
      <w:pPr>
        <w:pStyle w:val="BulletListSub-item"/>
        <w:keepNext/>
        <w:numPr>
          <w:ilvl w:val="0"/>
          <w:numId w:val="7"/>
        </w:numPr>
        <w:ind w:left="1434" w:hanging="357"/>
        <w:rPr>
          <w:lang w:val="fr-CA"/>
        </w:rPr>
      </w:pPr>
      <w:r w:rsidRPr="00683937">
        <w:rPr>
          <w:lang w:val="fr-CA"/>
        </w:rPr>
        <w:t>Configuration physique;</w:t>
      </w:r>
    </w:p>
    <w:p w14:paraId="7E875B46" w14:textId="77777777" w:rsidR="00E96362" w:rsidRPr="00683937" w:rsidRDefault="00E96362" w:rsidP="00E96362">
      <w:pPr>
        <w:pStyle w:val="BulletListSub-itemBottom"/>
        <w:tabs>
          <w:tab w:val="num" w:pos="2492"/>
        </w:tabs>
        <w:rPr>
          <w:lang w:val="fr-CA"/>
        </w:rPr>
      </w:pPr>
      <w:r w:rsidRPr="00683937">
        <w:rPr>
          <w:lang w:val="fr-CA"/>
        </w:rPr>
        <w:t>Documentation sur l’installation (par exemple, les procédures ou dessins d’exploitation).</w:t>
      </w:r>
    </w:p>
    <w:p w14:paraId="29C590D4" w14:textId="77777777" w:rsidR="00E96362" w:rsidRPr="00683937" w:rsidRDefault="00E96362" w:rsidP="00E96362">
      <w:pPr>
        <w:pStyle w:val="BodyText"/>
        <w:rPr>
          <w:lang w:val="fr-CA"/>
        </w:rPr>
      </w:pPr>
      <w:r w:rsidRPr="00683937">
        <w:rPr>
          <w:lang w:val="fr-CA"/>
        </w:rPr>
        <w:t>Le titulaire de permis doit s’assurer de mettre en place des dispositions pour faire en sorte que seuls les membres autorisés du personnel p</w:t>
      </w:r>
      <w:r>
        <w:rPr>
          <w:lang w:val="fr-CA"/>
        </w:rPr>
        <w:t>uissent</w:t>
      </w:r>
      <w:r w:rsidRPr="00683937">
        <w:rPr>
          <w:lang w:val="fr-CA"/>
        </w:rPr>
        <w:t xml:space="preserve"> manipuler les contrôles opérationnels clés et les composants à position </w:t>
      </w:r>
      <w:r>
        <w:rPr>
          <w:lang w:val="fr-CA"/>
        </w:rPr>
        <w:t>garantie</w:t>
      </w:r>
      <w:r w:rsidRPr="00683937">
        <w:rPr>
          <w:lang w:val="fr-CA"/>
        </w:rPr>
        <w:t xml:space="preserve"> qui sont susceptibles d’entraîner des changements dans l’état de l’installation.</w:t>
      </w:r>
    </w:p>
    <w:p w14:paraId="1B51ED5C" w14:textId="77777777" w:rsidR="00E96362" w:rsidRPr="00683937" w:rsidRDefault="00E96362" w:rsidP="00E96362">
      <w:pPr>
        <w:pStyle w:val="HeadingRequirementsorGuidanceLabel"/>
        <w:rPr>
          <w:lang w:val="fr-CA"/>
        </w:rPr>
      </w:pPr>
      <w:bookmarkStart w:id="61" w:name="_Toc140068987"/>
      <w:r w:rsidRPr="00683937">
        <w:rPr>
          <w:lang w:val="fr-CA"/>
        </w:rPr>
        <w:t>Orientation</w:t>
      </w:r>
      <w:bookmarkEnd w:id="61"/>
    </w:p>
    <w:p w14:paraId="310B9BD1" w14:textId="08F3A6EA" w:rsidR="00E96362" w:rsidRDefault="00E96362" w:rsidP="00E96362">
      <w:pPr>
        <w:pStyle w:val="BodyText"/>
        <w:rPr>
          <w:lang w:val="fr-CA"/>
        </w:rPr>
      </w:pPr>
      <w:r w:rsidRPr="00683937">
        <w:rPr>
          <w:lang w:val="fr-CA"/>
        </w:rPr>
        <w:t>Le titulaire de permis d</w:t>
      </w:r>
      <w:r>
        <w:rPr>
          <w:lang w:val="fr-CA"/>
        </w:rPr>
        <w:t>evrait</w:t>
      </w:r>
      <w:r w:rsidRPr="00683937">
        <w:rPr>
          <w:lang w:val="fr-CA"/>
        </w:rPr>
        <w:t xml:space="preserve"> s’assurer que les dispositions accordent aux opérateurs suffisamment de temps pour prendre des décisions et des mesures. Des outils de performance humaine servant à vérifier les actions des opérateurs devraient être utilisés dans la mesure du possible.</w:t>
      </w:r>
    </w:p>
    <w:p w14:paraId="5C4E8EC0" w14:textId="03A9185B" w:rsidR="00C62521" w:rsidRPr="009D7327" w:rsidRDefault="009D7327" w:rsidP="00C62521">
      <w:pPr>
        <w:pStyle w:val="BodyText"/>
        <w:rPr>
          <w:lang w:val="fr-CA"/>
        </w:rPr>
      </w:pPr>
      <w:r w:rsidRPr="00D86A97">
        <w:rPr>
          <w:lang w:val="fr-CA"/>
        </w:rPr>
        <w:t>Avant de modifier un SSC, le titulaire de permis devrait utiliser les résultats de l</w:t>
      </w:r>
      <w:r>
        <w:rPr>
          <w:lang w:val="fr-CA"/>
        </w:rPr>
        <w:t>’</w:t>
      </w:r>
      <w:r w:rsidRPr="00D86A97">
        <w:rPr>
          <w:lang w:val="fr-CA"/>
        </w:rPr>
        <w:t>analyse déterministe de la sûreté (avec l</w:t>
      </w:r>
      <w:r>
        <w:rPr>
          <w:lang w:val="fr-CA"/>
        </w:rPr>
        <w:t>’</w:t>
      </w:r>
      <w:r w:rsidRPr="00D86A97">
        <w:rPr>
          <w:lang w:val="fr-CA"/>
        </w:rPr>
        <w:t>étude probabiliste de sûreté (EPS) en complément) pour déterminer l</w:t>
      </w:r>
      <w:r>
        <w:rPr>
          <w:lang w:val="fr-CA"/>
        </w:rPr>
        <w:t>’</w:t>
      </w:r>
      <w:r w:rsidRPr="00D86A97">
        <w:rPr>
          <w:lang w:val="fr-CA"/>
        </w:rPr>
        <w:t>importance de la modification sur le plan de la sûreté et si des mesures compensatoires sont nécessaires. Le titulaire de permis peut utiliser les résultats de l</w:t>
      </w:r>
      <w:r>
        <w:rPr>
          <w:lang w:val="fr-CA"/>
        </w:rPr>
        <w:t>’</w:t>
      </w:r>
      <w:r w:rsidRPr="00D86A97">
        <w:rPr>
          <w:lang w:val="fr-CA"/>
        </w:rPr>
        <w:t>EPS et les outils de suivi du risque pour estimer le changement relatif au risque. Pendant la mise en œuvre d</w:t>
      </w:r>
      <w:r>
        <w:rPr>
          <w:lang w:val="fr-CA"/>
        </w:rPr>
        <w:t>e la modification à la</w:t>
      </w:r>
      <w:r w:rsidRPr="00D86A97">
        <w:rPr>
          <w:lang w:val="fr-CA"/>
        </w:rPr>
        <w:t xml:space="preserve"> configuration, le titulaire de permis devrait surveiller et gérer le risque associé à la configuration.</w:t>
      </w:r>
    </w:p>
    <w:p w14:paraId="4CC74B65" w14:textId="41247A59" w:rsidR="00C62521" w:rsidRPr="009D7327" w:rsidRDefault="009D7327" w:rsidP="00C62521">
      <w:pPr>
        <w:pStyle w:val="BodyText"/>
        <w:keepNext/>
        <w:spacing w:after="0"/>
        <w:rPr>
          <w:lang w:val="fr-CA"/>
        </w:rPr>
      </w:pPr>
      <w:r w:rsidRPr="004762ED">
        <w:rPr>
          <w:lang w:val="fr-CA"/>
        </w:rPr>
        <w:t>Pour plus d</w:t>
      </w:r>
      <w:r>
        <w:rPr>
          <w:lang w:val="fr-CA"/>
        </w:rPr>
        <w:t>’</w:t>
      </w:r>
      <w:r w:rsidRPr="004762ED">
        <w:rPr>
          <w:lang w:val="fr-CA"/>
        </w:rPr>
        <w:t>information sur les aspects de la gestion de la configuration liés aux activités de l</w:t>
      </w:r>
      <w:r>
        <w:rPr>
          <w:lang w:val="fr-CA"/>
        </w:rPr>
        <w:t>’</w:t>
      </w:r>
      <w:r w:rsidRPr="004762ED">
        <w:rPr>
          <w:lang w:val="fr-CA"/>
        </w:rPr>
        <w:t xml:space="preserve">installation, </w:t>
      </w:r>
      <w:r>
        <w:rPr>
          <w:lang w:val="fr-CA"/>
        </w:rPr>
        <w:t xml:space="preserve">veuillez </w:t>
      </w:r>
      <w:r w:rsidRPr="004762ED">
        <w:rPr>
          <w:lang w:val="fr-CA"/>
        </w:rPr>
        <w:t>consulter les documents suivants</w:t>
      </w:r>
      <w:r>
        <w:rPr>
          <w:lang w:val="fr-CA"/>
        </w:rPr>
        <w:t> </w:t>
      </w:r>
      <w:r w:rsidRPr="004762ED">
        <w:rPr>
          <w:lang w:val="fr-CA"/>
        </w:rPr>
        <w:t>:</w:t>
      </w:r>
    </w:p>
    <w:p w14:paraId="14A42DE5" w14:textId="21559BF3" w:rsidR="00C62521" w:rsidRPr="008F2E90" w:rsidRDefault="009D7327" w:rsidP="00C62521">
      <w:pPr>
        <w:pStyle w:val="BulletList"/>
        <w:keepNext/>
        <w:numPr>
          <w:ilvl w:val="0"/>
          <w:numId w:val="8"/>
        </w:numPr>
        <w:ind w:left="1080"/>
      </w:pPr>
      <w:r>
        <w:t>AIEA, SSG</w:t>
      </w:r>
      <w:r>
        <w:noBreakHyphen/>
        <w:t xml:space="preserve">71, </w:t>
      </w:r>
      <w:r w:rsidRPr="00491268">
        <w:rPr>
          <w:i/>
          <w:iCs/>
        </w:rPr>
        <w:t xml:space="preserve">Modifications to Nuclear Power </w:t>
      </w:r>
      <w:r w:rsidRPr="008F2E90">
        <w:rPr>
          <w:i/>
          <w:iCs/>
        </w:rPr>
        <w:t>Plants</w:t>
      </w:r>
      <w:r w:rsidRPr="008F2E90">
        <w:t> [14]</w:t>
      </w:r>
    </w:p>
    <w:p w14:paraId="7981799D" w14:textId="6BAA645F" w:rsidR="00C62521" w:rsidRPr="008F2E90" w:rsidRDefault="009D7327" w:rsidP="00C62521">
      <w:pPr>
        <w:pStyle w:val="BulletListLastItem"/>
        <w:numPr>
          <w:ilvl w:val="0"/>
          <w:numId w:val="8"/>
        </w:numPr>
        <w:ind w:left="1080"/>
      </w:pPr>
      <w:r>
        <w:t xml:space="preserve">AIEA, </w:t>
      </w:r>
      <w:r w:rsidRPr="008F2E90">
        <w:t>SSG</w:t>
      </w:r>
      <w:r w:rsidRPr="008F2E90">
        <w:noBreakHyphen/>
        <w:t xml:space="preserve">74, </w:t>
      </w:r>
      <w:r w:rsidRPr="008F2E90">
        <w:rPr>
          <w:i/>
          <w:iCs/>
        </w:rPr>
        <w:t>Maintenance, Testing, Surveillance and Inspection in Nuclear Power Plants</w:t>
      </w:r>
      <w:r w:rsidRPr="008F2E90">
        <w:t> [15]</w:t>
      </w:r>
    </w:p>
    <w:p w14:paraId="25658003" w14:textId="77777777" w:rsidR="00E96362" w:rsidRPr="00683937" w:rsidRDefault="00E96362" w:rsidP="00E96362">
      <w:pPr>
        <w:pStyle w:val="Heading4"/>
        <w:rPr>
          <w:lang w:val="fr-CA"/>
        </w:rPr>
      </w:pPr>
      <w:bookmarkStart w:id="62" w:name="_Toc126324265"/>
      <w:bookmarkStart w:id="63" w:name="_Toc140068988"/>
      <w:bookmarkStart w:id="64" w:name="_Toc152766293"/>
      <w:r w:rsidRPr="00683937">
        <w:rPr>
          <w:lang w:val="fr-CA"/>
        </w:rPr>
        <w:t>Gestion de la configuration de l’installation</w:t>
      </w:r>
      <w:bookmarkEnd w:id="62"/>
      <w:bookmarkEnd w:id="63"/>
      <w:bookmarkEnd w:id="64"/>
    </w:p>
    <w:p w14:paraId="41ECB9D3" w14:textId="77777777" w:rsidR="00E96362" w:rsidRPr="00683937" w:rsidRDefault="00E96362" w:rsidP="00E96362">
      <w:pPr>
        <w:pStyle w:val="HeadingRequirementsorGuidanceLabel"/>
        <w:rPr>
          <w:lang w:val="fr-CA"/>
        </w:rPr>
      </w:pPr>
      <w:bookmarkStart w:id="65" w:name="_Toc140068989"/>
      <w:r w:rsidRPr="00683937">
        <w:rPr>
          <w:lang w:val="fr-CA"/>
        </w:rPr>
        <w:t>Exigences</w:t>
      </w:r>
      <w:bookmarkEnd w:id="65"/>
    </w:p>
    <w:p w14:paraId="31A1991D" w14:textId="77777777" w:rsidR="00E96362" w:rsidRPr="00683937" w:rsidRDefault="00E96362" w:rsidP="00E96362">
      <w:pPr>
        <w:pStyle w:val="BodyText"/>
        <w:rPr>
          <w:lang w:val="fr-CA"/>
        </w:rPr>
      </w:pPr>
      <w:r w:rsidRPr="00683937">
        <w:rPr>
          <w:lang w:val="fr-CA"/>
        </w:rPr>
        <w:t>Le titulaire de permis doit établir et tenir à jour des dispositions concernant la gestion de la configuration de l’installation afin d’assurer une cohérence entre les LCE, les exigences de conception, la configuration physique et la documentation sur l’installation.</w:t>
      </w:r>
    </w:p>
    <w:p w14:paraId="1F7BAFA0" w14:textId="77777777" w:rsidR="00E96362" w:rsidRPr="00683937" w:rsidRDefault="00E96362" w:rsidP="00E96362">
      <w:pPr>
        <w:pStyle w:val="BodyText"/>
        <w:keepNext/>
        <w:spacing w:after="0"/>
        <w:rPr>
          <w:lang w:val="fr-CA"/>
        </w:rPr>
      </w:pPr>
      <w:r w:rsidRPr="00683937">
        <w:rPr>
          <w:lang w:val="fr-CA"/>
        </w:rPr>
        <w:t>Le titulaire de permis doit s’assurer de ce qui suit :</w:t>
      </w:r>
    </w:p>
    <w:p w14:paraId="670D488B" w14:textId="116A1E75" w:rsidR="00E96362" w:rsidRDefault="00E84A9F" w:rsidP="00E96362">
      <w:pPr>
        <w:pStyle w:val="BulletList"/>
        <w:keepNext/>
        <w:numPr>
          <w:ilvl w:val="0"/>
          <w:numId w:val="8"/>
        </w:numPr>
        <w:ind w:left="1080"/>
        <w:rPr>
          <w:lang w:val="fr-CA"/>
        </w:rPr>
      </w:pPr>
      <w:r>
        <w:rPr>
          <w:lang w:val="fr-CA"/>
        </w:rPr>
        <w:t>les mesures d</w:t>
      </w:r>
      <w:r w:rsidR="009D7327">
        <w:rPr>
          <w:lang w:val="fr-CA"/>
        </w:rPr>
        <w:t>e</w:t>
      </w:r>
      <w:r w:rsidR="00E96362" w:rsidRPr="00683937">
        <w:rPr>
          <w:lang w:val="fr-CA"/>
        </w:rPr>
        <w:t xml:space="preserve"> contrôle de la configuration de l’installation fait en sorte que toutes les modifications aux SSC de l’installation sont dûment évaluées, conçues, approuvées, mises en œuvre, </w:t>
      </w:r>
      <w:r>
        <w:rPr>
          <w:lang w:val="fr-CA"/>
        </w:rPr>
        <w:t xml:space="preserve">acceptées, </w:t>
      </w:r>
      <w:r w:rsidR="00E96362" w:rsidRPr="00683937">
        <w:rPr>
          <w:lang w:val="fr-CA"/>
        </w:rPr>
        <w:t>documentées et étiquetées afin qu’elles soient clairement identifiées sur le terrain</w:t>
      </w:r>
    </w:p>
    <w:p w14:paraId="03A4D7EA" w14:textId="1DBCAED2" w:rsidR="00E96362" w:rsidRPr="00C62521" w:rsidRDefault="00C62521" w:rsidP="00E96362">
      <w:pPr>
        <w:pStyle w:val="BulletListLastItem"/>
        <w:numPr>
          <w:ilvl w:val="0"/>
          <w:numId w:val="8"/>
        </w:numPr>
        <w:ind w:left="1080"/>
        <w:rPr>
          <w:lang w:val="fr-CA"/>
        </w:rPr>
      </w:pPr>
      <w:r>
        <w:rPr>
          <w:lang w:val="fr-CA"/>
        </w:rPr>
        <w:t>l</w:t>
      </w:r>
      <w:r w:rsidRPr="00683937">
        <w:rPr>
          <w:lang w:val="fr-CA"/>
        </w:rPr>
        <w:t>es changements ou modifications sont évalués selon l’incidence globale du risque sur la tranche, la centrale ou l’installation dans son ensemble, ce qui comprend la réalisation de l’analyse de la sûreté appropriée avant le début de la modification</w:t>
      </w:r>
    </w:p>
    <w:p w14:paraId="65FBD032" w14:textId="77777777" w:rsidR="00E96362" w:rsidRPr="00683937" w:rsidRDefault="00E96362" w:rsidP="00E96362">
      <w:pPr>
        <w:pStyle w:val="BodyText"/>
        <w:keepNext/>
        <w:spacing w:after="0"/>
        <w:rPr>
          <w:lang w:val="fr-CA"/>
        </w:rPr>
      </w:pPr>
      <w:r w:rsidRPr="00683937">
        <w:rPr>
          <w:lang w:val="fr-CA"/>
        </w:rPr>
        <w:t>Le titulaire de permis doit :</w:t>
      </w:r>
    </w:p>
    <w:p w14:paraId="086F041B" w14:textId="6F317587" w:rsidR="00E96362" w:rsidRPr="00683937" w:rsidRDefault="009D7327" w:rsidP="00E96362">
      <w:pPr>
        <w:pStyle w:val="BulletList"/>
        <w:keepNext/>
        <w:numPr>
          <w:ilvl w:val="0"/>
          <w:numId w:val="8"/>
        </w:numPr>
        <w:ind w:left="1080"/>
        <w:rPr>
          <w:lang w:val="fr-CA"/>
        </w:rPr>
      </w:pPr>
      <w:r w:rsidRPr="00683937">
        <w:rPr>
          <w:lang w:val="fr-CA"/>
        </w:rPr>
        <w:t xml:space="preserve">établir un système permettant de communiquer en temps utile au personnel compétent les modifications temporaires et leurs conséquences </w:t>
      </w:r>
      <w:r>
        <w:rPr>
          <w:lang w:val="fr-CA"/>
        </w:rPr>
        <w:t>ainsi que l’incidence sur le risque</w:t>
      </w:r>
    </w:p>
    <w:p w14:paraId="25FD2F8A" w14:textId="77777777" w:rsidR="00E96362" w:rsidRPr="00683937" w:rsidRDefault="00E96362" w:rsidP="00E96362">
      <w:pPr>
        <w:pStyle w:val="BulletList"/>
        <w:keepNext/>
        <w:numPr>
          <w:ilvl w:val="0"/>
          <w:numId w:val="8"/>
        </w:numPr>
        <w:ind w:left="1080"/>
        <w:rPr>
          <w:lang w:val="fr-CA"/>
        </w:rPr>
      </w:pPr>
      <w:r w:rsidRPr="00683937">
        <w:rPr>
          <w:lang w:val="fr-CA"/>
        </w:rPr>
        <w:t>veiller à ce qu’une liste des modifications temporaires soit mise à la disposition de tous les membres du personnel d’exploitation, laquelle liste doit faire état de la durée limite de chaque modification temporaire; une fois ce délai échu, la liste sera examinée afin d’en déterminer l’applicabilité, la sûreté et la nécessité dans les conditions actuelles de l’installation</w:t>
      </w:r>
    </w:p>
    <w:p w14:paraId="7D158FA7" w14:textId="77777777" w:rsidR="00E96362" w:rsidRPr="00683937" w:rsidRDefault="00E96362" w:rsidP="00E96362">
      <w:pPr>
        <w:pStyle w:val="BulletListLastItem"/>
        <w:numPr>
          <w:ilvl w:val="0"/>
          <w:numId w:val="8"/>
        </w:numPr>
        <w:ind w:left="1080"/>
        <w:rPr>
          <w:lang w:val="fr-CA"/>
        </w:rPr>
      </w:pPr>
      <w:r w:rsidRPr="00683937">
        <w:rPr>
          <w:lang w:val="fr-CA"/>
        </w:rPr>
        <w:t>établir un processus d’approbation de la modification temporaire si celle-ci demeurera en vigueur (c’est-à-dire qu’elle deviendra une modification permanente)</w:t>
      </w:r>
    </w:p>
    <w:p w14:paraId="3F3507A8" w14:textId="7B72CC62" w:rsidR="00E96362" w:rsidRPr="00683937" w:rsidRDefault="00E96362" w:rsidP="00E96362">
      <w:pPr>
        <w:pStyle w:val="HeadingRequirementsorGuidanceLabel"/>
        <w:rPr>
          <w:lang w:val="fr-CA"/>
        </w:rPr>
      </w:pPr>
      <w:bookmarkStart w:id="66" w:name="_Toc140068990"/>
      <w:r w:rsidRPr="00683937">
        <w:rPr>
          <w:lang w:val="fr-CA"/>
        </w:rPr>
        <w:t>Orientation</w:t>
      </w:r>
      <w:bookmarkEnd w:id="66"/>
    </w:p>
    <w:p w14:paraId="707399F6" w14:textId="730B1F4C" w:rsidR="00E96362" w:rsidRPr="00683937" w:rsidRDefault="00E96362" w:rsidP="00E96362">
      <w:pPr>
        <w:pStyle w:val="BodyText"/>
        <w:rPr>
          <w:lang w:val="fr-CA"/>
        </w:rPr>
      </w:pPr>
      <w:r w:rsidRPr="00683937">
        <w:rPr>
          <w:lang w:val="fr-CA"/>
        </w:rPr>
        <w:t xml:space="preserve">Avant d’effectuer une modification, le titulaire de permis devrait déterminer les parties du système qui sont susceptibles d’être touchées par celle-ci. Après avoir opéré la modification, le titulaire de permis devrait procéder à une vérification pour s’assurer de la concordance des </w:t>
      </w:r>
      <w:r w:rsidR="00C62521">
        <w:rPr>
          <w:lang w:val="fr-CA"/>
        </w:rPr>
        <w:t xml:space="preserve">SSCs </w:t>
      </w:r>
      <w:r w:rsidRPr="00683937">
        <w:rPr>
          <w:lang w:val="fr-CA"/>
        </w:rPr>
        <w:t>avant l’exploitation.</w:t>
      </w:r>
    </w:p>
    <w:p w14:paraId="1DE65BB8" w14:textId="77777777" w:rsidR="00E96362" w:rsidRPr="00683937" w:rsidRDefault="00E96362" w:rsidP="00E96362">
      <w:pPr>
        <w:pStyle w:val="BodyText"/>
        <w:keepNext/>
        <w:spacing w:after="0"/>
        <w:rPr>
          <w:lang w:val="fr-CA"/>
        </w:rPr>
      </w:pPr>
      <w:r w:rsidRPr="00683937">
        <w:rPr>
          <w:lang w:val="fr-CA"/>
        </w:rPr>
        <w:t>Pour obtenir plus d’information sur les aspects de la gestion de la configuration qui relèvent du système de gestion, veuillez consulter les normes suivantes :</w:t>
      </w:r>
    </w:p>
    <w:p w14:paraId="2959644F" w14:textId="5BC54AB9" w:rsidR="00E96362" w:rsidRDefault="00E96362" w:rsidP="00E96362">
      <w:pPr>
        <w:pStyle w:val="BulletList"/>
        <w:keepNext/>
        <w:numPr>
          <w:ilvl w:val="0"/>
          <w:numId w:val="8"/>
        </w:numPr>
        <w:ind w:left="1080"/>
        <w:rPr>
          <w:lang w:val="fr-CA"/>
        </w:rPr>
      </w:pPr>
      <w:r w:rsidRPr="00683937">
        <w:rPr>
          <w:lang w:val="fr-CA"/>
        </w:rPr>
        <w:t xml:space="preserve">CSA N286, </w:t>
      </w:r>
      <w:r w:rsidRPr="00683937">
        <w:rPr>
          <w:i/>
          <w:iCs/>
          <w:lang w:val="fr-CA"/>
        </w:rPr>
        <w:t>Exigences relatives au système de gestion des installations nucléaires</w:t>
      </w:r>
      <w:r w:rsidRPr="00683937">
        <w:rPr>
          <w:lang w:val="fr-CA"/>
        </w:rPr>
        <w:t> [4]</w:t>
      </w:r>
    </w:p>
    <w:p w14:paraId="6569E298" w14:textId="720C1F89" w:rsidR="00E96362" w:rsidRPr="00C62521" w:rsidRDefault="00C62521" w:rsidP="00E96362">
      <w:pPr>
        <w:pStyle w:val="BulletListLastItem"/>
        <w:numPr>
          <w:ilvl w:val="0"/>
          <w:numId w:val="8"/>
        </w:numPr>
        <w:ind w:left="1080"/>
        <w:rPr>
          <w:lang w:val="fr-CA"/>
        </w:rPr>
      </w:pPr>
      <w:r w:rsidRPr="00683937">
        <w:rPr>
          <w:lang w:val="fr-CA"/>
        </w:rPr>
        <w:t xml:space="preserve">CSA N286.10, </w:t>
      </w:r>
      <w:r w:rsidRPr="00683937">
        <w:rPr>
          <w:i/>
          <w:iCs/>
          <w:lang w:val="fr-CA"/>
        </w:rPr>
        <w:t>Gestion de la configuration des installations de réacteurs à haute puissance</w:t>
      </w:r>
      <w:r w:rsidRPr="00683937">
        <w:rPr>
          <w:lang w:val="fr-CA"/>
        </w:rPr>
        <w:t> [1</w:t>
      </w:r>
      <w:r w:rsidR="008F2E90">
        <w:rPr>
          <w:lang w:val="fr-CA"/>
        </w:rPr>
        <w:t>6</w:t>
      </w:r>
      <w:r w:rsidRPr="00683937">
        <w:rPr>
          <w:lang w:val="fr-CA"/>
        </w:rPr>
        <w:t>]</w:t>
      </w:r>
    </w:p>
    <w:p w14:paraId="2A26CE64" w14:textId="77777777" w:rsidR="00E96362" w:rsidRPr="00683937" w:rsidRDefault="00E96362" w:rsidP="00E96362">
      <w:pPr>
        <w:pStyle w:val="Heading4"/>
        <w:rPr>
          <w:lang w:val="fr-CA"/>
        </w:rPr>
      </w:pPr>
      <w:bookmarkStart w:id="67" w:name="_Toc126324266"/>
      <w:bookmarkStart w:id="68" w:name="_Toc140068991"/>
      <w:bookmarkStart w:id="69" w:name="_Toc152766294"/>
      <w:r w:rsidRPr="00683937">
        <w:rPr>
          <w:lang w:val="fr-CA"/>
        </w:rPr>
        <w:t>Gestion des sources froides</w:t>
      </w:r>
      <w:bookmarkEnd w:id="67"/>
      <w:bookmarkEnd w:id="68"/>
      <w:bookmarkEnd w:id="69"/>
    </w:p>
    <w:p w14:paraId="2DC89EC2" w14:textId="77777777" w:rsidR="00E96362" w:rsidRPr="00683937" w:rsidRDefault="00E96362" w:rsidP="00E96362">
      <w:pPr>
        <w:pStyle w:val="HeadingRequirementsorGuidanceLabel"/>
        <w:rPr>
          <w:lang w:val="fr-CA"/>
        </w:rPr>
      </w:pPr>
      <w:bookmarkStart w:id="70" w:name="_Toc140068992"/>
      <w:r w:rsidRPr="00683937">
        <w:rPr>
          <w:lang w:val="fr-CA"/>
        </w:rPr>
        <w:t>Exigences</w:t>
      </w:r>
      <w:bookmarkEnd w:id="70"/>
    </w:p>
    <w:p w14:paraId="047F3672" w14:textId="77777777" w:rsidR="00E96362" w:rsidRPr="00683937" w:rsidRDefault="00E96362" w:rsidP="00E96362">
      <w:pPr>
        <w:pStyle w:val="BodyText"/>
        <w:keepNext/>
        <w:spacing w:after="0"/>
        <w:rPr>
          <w:lang w:val="fr-CA"/>
        </w:rPr>
      </w:pPr>
      <w:r w:rsidRPr="00683937">
        <w:rPr>
          <w:lang w:val="fr-CA"/>
        </w:rPr>
        <w:t>Le titulaire de permis doit établir et mettre en œuvre une stratégie pour assurer la gestion des sources froides dans tous les modes d</w:t>
      </w:r>
      <w:r>
        <w:rPr>
          <w:lang w:val="fr-CA"/>
        </w:rPr>
        <w:t>e fonctionnement</w:t>
      </w:r>
      <w:r w:rsidRPr="00683937">
        <w:rPr>
          <w:lang w:val="fr-CA"/>
        </w:rPr>
        <w:t>, ce qui devra comprendre, entre autres, ce qui suit :</w:t>
      </w:r>
    </w:p>
    <w:p w14:paraId="1F586F36"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sources froides primaires et secondaires pour toutes les configurations prévues d</w:t>
      </w:r>
      <w:r>
        <w:rPr>
          <w:lang w:val="fr-CA"/>
        </w:rPr>
        <w:t>u</w:t>
      </w:r>
      <w:r w:rsidRPr="00683937">
        <w:rPr>
          <w:lang w:val="fr-CA"/>
        </w:rPr>
        <w:t xml:space="preserve"> site de réacteur et d</w:t>
      </w:r>
      <w:r>
        <w:rPr>
          <w:lang w:val="fr-CA"/>
        </w:rPr>
        <w:t>e l</w:t>
      </w:r>
      <w:r w:rsidRPr="00683937">
        <w:rPr>
          <w:lang w:val="fr-CA"/>
        </w:rPr>
        <w:t>’installation; par exemple, les arrêts et les conditions d’exploitation à faible puissance, le démarrage, l</w:t>
      </w:r>
      <w:r>
        <w:rPr>
          <w:lang w:val="fr-CA"/>
        </w:rPr>
        <w:t>a mise à l</w:t>
      </w:r>
      <w:r w:rsidRPr="00683937">
        <w:rPr>
          <w:lang w:val="fr-CA"/>
        </w:rPr>
        <w:t xml:space="preserve">’arrêt ou </w:t>
      </w:r>
      <w:r>
        <w:rPr>
          <w:lang w:val="fr-CA"/>
        </w:rPr>
        <w:t>l’état d’arrêt prolongé</w:t>
      </w:r>
      <w:r w:rsidRPr="00683937">
        <w:rPr>
          <w:lang w:val="fr-CA"/>
        </w:rPr>
        <w:t xml:space="preserve"> </w:t>
      </w:r>
    </w:p>
    <w:p w14:paraId="1EAF1C26"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sources froides d’urgence pour atténuer les conséquences de la perte des sources froides primaires et secondaires, pour tous les événements inclus dans le dimensionnement et pris en compte dans les conditions additionnelles de dimensionnement</w:t>
      </w:r>
    </w:p>
    <w:p w14:paraId="3ED793C1" w14:textId="30FB3D39" w:rsidR="00E96362" w:rsidRPr="00683937" w:rsidRDefault="00E96362" w:rsidP="00E96362">
      <w:pPr>
        <w:pStyle w:val="BulletListLastItem"/>
        <w:numPr>
          <w:ilvl w:val="0"/>
          <w:numId w:val="8"/>
        </w:numPr>
        <w:ind w:left="1080"/>
        <w:rPr>
          <w:lang w:val="fr-CA"/>
        </w:rPr>
      </w:pPr>
      <w:r>
        <w:rPr>
          <w:lang w:val="fr-CA"/>
        </w:rPr>
        <w:t>s</w:t>
      </w:r>
      <w:r w:rsidRPr="00683937">
        <w:rPr>
          <w:lang w:val="fr-CA"/>
        </w:rPr>
        <w:t>i la conception comprend une piscine d</w:t>
      </w:r>
      <w:r>
        <w:rPr>
          <w:lang w:val="fr-CA"/>
        </w:rPr>
        <w:t>e stockage</w:t>
      </w:r>
      <w:r w:rsidRPr="00683937">
        <w:rPr>
          <w:lang w:val="fr-CA"/>
        </w:rPr>
        <w:t xml:space="preserve"> (c’est-à-dire une piscine </w:t>
      </w:r>
      <w:r w:rsidR="00C0133E">
        <w:rPr>
          <w:lang w:val="fr-CA"/>
        </w:rPr>
        <w:t>d</w:t>
      </w:r>
      <w:r>
        <w:rPr>
          <w:lang w:val="fr-CA"/>
        </w:rPr>
        <w:t>e</w:t>
      </w:r>
      <w:r w:rsidRPr="00683937">
        <w:rPr>
          <w:lang w:val="fr-CA"/>
        </w:rPr>
        <w:t xml:space="preserve"> combustible usé</w:t>
      </w:r>
      <w:r>
        <w:rPr>
          <w:lang w:val="fr-CA"/>
        </w:rPr>
        <w:t>, épuisé ou irradié</w:t>
      </w:r>
      <w:r w:rsidRPr="00683937">
        <w:rPr>
          <w:lang w:val="fr-CA"/>
        </w:rPr>
        <w:t>), les sources froides dans la piscine d</w:t>
      </w:r>
      <w:r>
        <w:rPr>
          <w:lang w:val="fr-CA"/>
        </w:rPr>
        <w:t>e stockage</w:t>
      </w:r>
      <w:r w:rsidRPr="00683937">
        <w:rPr>
          <w:lang w:val="fr-CA"/>
        </w:rPr>
        <w:t xml:space="preserve"> </w:t>
      </w:r>
      <w:r>
        <w:rPr>
          <w:lang w:val="fr-CA"/>
        </w:rPr>
        <w:t>dans</w:t>
      </w:r>
      <w:r w:rsidRPr="00683937">
        <w:rPr>
          <w:lang w:val="fr-CA"/>
        </w:rPr>
        <w:t xml:space="preserve"> les conditions normales et d’accident</w:t>
      </w:r>
    </w:p>
    <w:p w14:paraId="6F4C248F" w14:textId="77777777" w:rsidR="00E96362" w:rsidRPr="00683937" w:rsidRDefault="00E96362" w:rsidP="00E96362">
      <w:pPr>
        <w:pStyle w:val="BodyText"/>
        <w:keepNext/>
        <w:spacing w:after="0"/>
        <w:rPr>
          <w:lang w:val="fr-CA"/>
        </w:rPr>
      </w:pPr>
      <w:r w:rsidRPr="00683937">
        <w:rPr>
          <w:lang w:val="fr-CA"/>
        </w:rPr>
        <w:t>Pour chaque source froide, le titulaire de permis doit indiquer ce qui suit :</w:t>
      </w:r>
    </w:p>
    <w:p w14:paraId="57236CCC"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a puissance de refroidissement requise</w:t>
      </w:r>
    </w:p>
    <w:p w14:paraId="0511A8DA"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a capacité de la source froide au cours d’une exploitation normale</w:t>
      </w:r>
    </w:p>
    <w:p w14:paraId="11876567"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a fiabilité de l’équipement de procédé et de l’équipement auxiliaire pour ce qui est de maintenir la capacité</w:t>
      </w:r>
    </w:p>
    <w:p w14:paraId="1249C85C"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exigences en matière de surveillance</w:t>
      </w:r>
    </w:p>
    <w:p w14:paraId="33981DC8"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 xml:space="preserve">es </w:t>
      </w:r>
      <w:r>
        <w:rPr>
          <w:lang w:val="fr-CA"/>
        </w:rPr>
        <w:t>actions de</w:t>
      </w:r>
      <w:r w:rsidRPr="00683937">
        <w:rPr>
          <w:lang w:val="fr-CA"/>
        </w:rPr>
        <w:t xml:space="preserve"> l’opérateur en cas de défaillance de la source froide primaire</w:t>
      </w:r>
    </w:p>
    <w:p w14:paraId="6DBB4983" w14:textId="77777777" w:rsidR="00E96362" w:rsidRPr="00683937" w:rsidRDefault="00E96362" w:rsidP="00E96362">
      <w:pPr>
        <w:pStyle w:val="BodyText"/>
        <w:rPr>
          <w:lang w:val="fr-CA"/>
        </w:rPr>
      </w:pPr>
      <w:r w:rsidRPr="00683937">
        <w:rPr>
          <w:lang w:val="fr-CA"/>
        </w:rPr>
        <w:t xml:space="preserve">Le titulaire de permis doit s’assurer que l’information relative à chaque source froide tient compte de l’intégralité de la chaîne de dissipation de la chaleur de la source (par exemple le combustible ou l’équipement de procédé) </w:t>
      </w:r>
      <w:r>
        <w:rPr>
          <w:lang w:val="fr-CA"/>
        </w:rPr>
        <w:t>jusqu’</w:t>
      </w:r>
      <w:r w:rsidRPr="00683937">
        <w:rPr>
          <w:lang w:val="fr-CA"/>
        </w:rPr>
        <w:t>à la source froide ultime (l’environnement).</w:t>
      </w:r>
    </w:p>
    <w:p w14:paraId="450007D9" w14:textId="77777777" w:rsidR="00E96362" w:rsidRPr="00683937" w:rsidRDefault="00E96362" w:rsidP="00E96362">
      <w:pPr>
        <w:pStyle w:val="HeadingRequirementsorGuidanceLabel"/>
        <w:rPr>
          <w:lang w:val="fr-CA"/>
        </w:rPr>
      </w:pPr>
      <w:bookmarkStart w:id="71" w:name="_Toc140068993"/>
      <w:r w:rsidRPr="00683937">
        <w:rPr>
          <w:lang w:val="fr-CA"/>
        </w:rPr>
        <w:t>Orientation</w:t>
      </w:r>
      <w:bookmarkEnd w:id="71"/>
    </w:p>
    <w:p w14:paraId="2D39E0FB" w14:textId="2B3855EC" w:rsidR="00E96362" w:rsidRPr="00683937" w:rsidRDefault="00E96362" w:rsidP="00E96362">
      <w:pPr>
        <w:pStyle w:val="BodyText"/>
        <w:rPr>
          <w:lang w:val="fr-CA"/>
        </w:rPr>
      </w:pPr>
      <w:r w:rsidRPr="00683937">
        <w:rPr>
          <w:lang w:val="fr-CA"/>
        </w:rPr>
        <w:t xml:space="preserve">Pour obtenir plus d’information sur les exigences applicables aux sources froides dans le contexte d’un arrêt, veuillez consulter la norme CSA N290.11, </w:t>
      </w:r>
      <w:r w:rsidRPr="00683937">
        <w:rPr>
          <w:i/>
          <w:iCs/>
          <w:lang w:val="fr-CA"/>
        </w:rPr>
        <w:t>Exigences relatives à la capacité d’évacuation de la chaleur du réacteur pendant l’arrêt des centrales nucléaires</w:t>
      </w:r>
      <w:r w:rsidRPr="00683937">
        <w:rPr>
          <w:lang w:val="fr-CA"/>
        </w:rPr>
        <w:t> [1</w:t>
      </w:r>
      <w:r w:rsidR="003F5908">
        <w:rPr>
          <w:lang w:val="fr-CA"/>
        </w:rPr>
        <w:t>7</w:t>
      </w:r>
      <w:r w:rsidRPr="00683937">
        <w:rPr>
          <w:lang w:val="fr-CA"/>
        </w:rPr>
        <w:t>].</w:t>
      </w:r>
    </w:p>
    <w:p w14:paraId="2078CC29" w14:textId="77777777" w:rsidR="00E96362" w:rsidRPr="00683937" w:rsidRDefault="00E96362" w:rsidP="00E96362">
      <w:pPr>
        <w:pStyle w:val="Heading4"/>
        <w:rPr>
          <w:lang w:val="fr-CA"/>
        </w:rPr>
      </w:pPr>
      <w:bookmarkStart w:id="72" w:name="_Toc126324267"/>
      <w:bookmarkStart w:id="73" w:name="_Toc140068994"/>
      <w:bookmarkStart w:id="74" w:name="_Toc152766295"/>
      <w:r w:rsidRPr="00683937">
        <w:rPr>
          <w:lang w:val="fr-CA"/>
        </w:rPr>
        <w:t>Contrôle des défis auxquels doivent faire face les opérateurs</w:t>
      </w:r>
      <w:bookmarkEnd w:id="72"/>
      <w:bookmarkEnd w:id="73"/>
      <w:bookmarkEnd w:id="74"/>
    </w:p>
    <w:p w14:paraId="553D059A" w14:textId="77777777" w:rsidR="00E96362" w:rsidRPr="00683937" w:rsidRDefault="00E96362" w:rsidP="00E96362">
      <w:pPr>
        <w:pStyle w:val="HeadingRequirementsorGuidanceLabel"/>
        <w:rPr>
          <w:lang w:val="fr-CA"/>
        </w:rPr>
      </w:pPr>
      <w:bookmarkStart w:id="75" w:name="_Toc140068995"/>
      <w:r w:rsidRPr="00683937">
        <w:rPr>
          <w:lang w:val="fr-CA"/>
        </w:rPr>
        <w:t>Exigences</w:t>
      </w:r>
      <w:bookmarkEnd w:id="75"/>
    </w:p>
    <w:p w14:paraId="210CD471" w14:textId="77777777" w:rsidR="00E96362" w:rsidRPr="00683937" w:rsidRDefault="00E96362" w:rsidP="00E96362">
      <w:pPr>
        <w:pStyle w:val="BodyText"/>
        <w:rPr>
          <w:lang w:val="fr-CA"/>
        </w:rPr>
      </w:pPr>
      <w:r w:rsidRPr="00683937">
        <w:rPr>
          <w:lang w:val="fr-CA"/>
        </w:rPr>
        <w:t>Le titulaire de permis doit établir et mettre en œuvre des dispositions afin d’atténuer l’incidence des écarts par rapport à l’état voulu de l’équipement ou aux conditions de travail prévues. Le titulaire de permis doit mettre en place un processus géré au moyen duquel les écarts de cette nature seront reconnus, classifiés, surveillés et corrigés.</w:t>
      </w:r>
    </w:p>
    <w:p w14:paraId="043EB152" w14:textId="77777777" w:rsidR="00E96362" w:rsidRPr="00683937" w:rsidRDefault="00E96362" w:rsidP="00E96362">
      <w:pPr>
        <w:pStyle w:val="HeadingRequirementsorGuidanceLabel"/>
        <w:rPr>
          <w:lang w:val="fr-CA"/>
        </w:rPr>
      </w:pPr>
      <w:bookmarkStart w:id="76" w:name="_Toc140068996"/>
      <w:r w:rsidRPr="00683937">
        <w:rPr>
          <w:lang w:val="fr-CA"/>
        </w:rPr>
        <w:t>Orientation</w:t>
      </w:r>
      <w:bookmarkEnd w:id="76"/>
    </w:p>
    <w:p w14:paraId="74254817" w14:textId="77777777" w:rsidR="00E96362" w:rsidRPr="00683937" w:rsidRDefault="00E96362" w:rsidP="00E96362">
      <w:pPr>
        <w:pStyle w:val="BodyText"/>
        <w:keepNext/>
        <w:spacing w:after="0"/>
        <w:rPr>
          <w:lang w:val="fr-CA"/>
        </w:rPr>
      </w:pPr>
      <w:r w:rsidRPr="00683937">
        <w:rPr>
          <w:lang w:val="fr-CA"/>
        </w:rPr>
        <w:t>Voici quelques exemples d’écarts :</w:t>
      </w:r>
    </w:p>
    <w:p w14:paraId="554B8820" w14:textId="77777777" w:rsidR="00E96362" w:rsidRPr="00683937" w:rsidRDefault="00E96362" w:rsidP="00E96362">
      <w:pPr>
        <w:pStyle w:val="BulletList"/>
        <w:keepNext/>
        <w:numPr>
          <w:ilvl w:val="0"/>
          <w:numId w:val="8"/>
        </w:numPr>
        <w:ind w:left="1080"/>
        <w:rPr>
          <w:lang w:val="fr-CA"/>
        </w:rPr>
      </w:pPr>
      <w:r>
        <w:rPr>
          <w:lang w:val="fr-CA"/>
        </w:rPr>
        <w:t>c</w:t>
      </w:r>
      <w:r w:rsidRPr="00683937">
        <w:rPr>
          <w:lang w:val="fr-CA"/>
        </w:rPr>
        <w:t>onditions environnementales; par exemple, une température trop élevée dans un lieu de travail</w:t>
      </w:r>
    </w:p>
    <w:p w14:paraId="4DB21182" w14:textId="77777777" w:rsidR="00E96362" w:rsidRPr="00683937" w:rsidRDefault="00E96362" w:rsidP="00E96362">
      <w:pPr>
        <w:pStyle w:val="BulletList"/>
        <w:numPr>
          <w:ilvl w:val="0"/>
          <w:numId w:val="8"/>
        </w:numPr>
        <w:ind w:left="1080"/>
        <w:rPr>
          <w:lang w:val="fr-CA"/>
        </w:rPr>
      </w:pPr>
      <w:r>
        <w:rPr>
          <w:lang w:val="fr-CA"/>
        </w:rPr>
        <w:t>c</w:t>
      </w:r>
      <w:r w:rsidRPr="00683937">
        <w:rPr>
          <w:lang w:val="fr-CA"/>
        </w:rPr>
        <w:t>hamp de rayonnement élevé nécessitant le port d’équipement de protection individuelle (EPI)</w:t>
      </w:r>
    </w:p>
    <w:p w14:paraId="435698EB" w14:textId="77777777" w:rsidR="00E96362" w:rsidRPr="00683937" w:rsidRDefault="00E96362" w:rsidP="00E96362">
      <w:pPr>
        <w:pStyle w:val="BulletList"/>
        <w:numPr>
          <w:ilvl w:val="0"/>
          <w:numId w:val="8"/>
        </w:numPr>
        <w:ind w:left="1080"/>
        <w:rPr>
          <w:lang w:val="fr-CA"/>
        </w:rPr>
      </w:pPr>
      <w:r>
        <w:rPr>
          <w:lang w:val="fr-CA"/>
        </w:rPr>
        <w:t>u</w:t>
      </w:r>
      <w:r w:rsidRPr="00683937">
        <w:rPr>
          <w:lang w:val="fr-CA"/>
        </w:rPr>
        <w:t>tilisation manuelle, plutôt qu’automatique, de l’équipement</w:t>
      </w:r>
    </w:p>
    <w:p w14:paraId="6C355067" w14:textId="77777777" w:rsidR="00E96362" w:rsidRPr="00683937" w:rsidRDefault="00E96362" w:rsidP="00E96362">
      <w:pPr>
        <w:pStyle w:val="BulletList"/>
        <w:keepNext/>
        <w:numPr>
          <w:ilvl w:val="0"/>
          <w:numId w:val="8"/>
        </w:numPr>
        <w:ind w:left="1077" w:hanging="357"/>
        <w:rPr>
          <w:lang w:val="fr-CA"/>
        </w:rPr>
      </w:pPr>
      <w:r>
        <w:rPr>
          <w:lang w:val="fr-CA"/>
        </w:rPr>
        <w:t>c</w:t>
      </w:r>
      <w:r w:rsidRPr="00683937">
        <w:rPr>
          <w:lang w:val="fr-CA"/>
        </w:rPr>
        <w:t>ouverture réduite du système d’avertissement</w:t>
      </w:r>
    </w:p>
    <w:p w14:paraId="545A61DF" w14:textId="77777777" w:rsidR="00E96362" w:rsidRPr="00683937" w:rsidRDefault="00E96362" w:rsidP="00E96362">
      <w:pPr>
        <w:pStyle w:val="BulletListLastItem"/>
        <w:numPr>
          <w:ilvl w:val="0"/>
          <w:numId w:val="8"/>
        </w:numPr>
        <w:ind w:left="1080"/>
        <w:rPr>
          <w:lang w:val="fr-CA"/>
        </w:rPr>
      </w:pPr>
      <w:r>
        <w:rPr>
          <w:lang w:val="fr-CA"/>
        </w:rPr>
        <w:t>c</w:t>
      </w:r>
      <w:r w:rsidRPr="00683937">
        <w:rPr>
          <w:lang w:val="fr-CA"/>
        </w:rPr>
        <w:t>onditions non sécuritaires en raison de contraintes, de l’usure, d’impacts, de vibrations, de la chaleur, de la corrosion, d’une réaction chimique ou d’un m</w:t>
      </w:r>
      <w:r>
        <w:rPr>
          <w:lang w:val="fr-CA"/>
        </w:rPr>
        <w:t xml:space="preserve">auvais </w:t>
      </w:r>
      <w:r w:rsidRPr="00683937">
        <w:rPr>
          <w:lang w:val="fr-CA"/>
        </w:rPr>
        <w:t>usage</w:t>
      </w:r>
    </w:p>
    <w:p w14:paraId="2A699BED" w14:textId="77777777" w:rsidR="00E96362" w:rsidRPr="00683937" w:rsidRDefault="00E96362" w:rsidP="00E96362">
      <w:pPr>
        <w:pStyle w:val="Heading4"/>
        <w:rPr>
          <w:lang w:val="fr-CA"/>
        </w:rPr>
      </w:pPr>
      <w:bookmarkStart w:id="77" w:name="_Toc126324268"/>
      <w:bookmarkStart w:id="78" w:name="_Toc140068997"/>
      <w:bookmarkStart w:id="79" w:name="_Toc152766296"/>
      <w:r w:rsidRPr="00683937">
        <w:rPr>
          <w:lang w:val="fr-CA"/>
        </w:rPr>
        <w:t>Travail par quart</w:t>
      </w:r>
      <w:bookmarkEnd w:id="77"/>
      <w:bookmarkEnd w:id="78"/>
      <w:bookmarkEnd w:id="79"/>
    </w:p>
    <w:p w14:paraId="308FACDD" w14:textId="77777777" w:rsidR="00E96362" w:rsidRPr="00683937" w:rsidRDefault="00E96362" w:rsidP="00E96362">
      <w:pPr>
        <w:pStyle w:val="HeadingRequirementsorGuidanceLabel"/>
        <w:rPr>
          <w:lang w:val="fr-CA"/>
        </w:rPr>
      </w:pPr>
      <w:bookmarkStart w:id="80" w:name="_Toc140068998"/>
      <w:r w:rsidRPr="00683937">
        <w:rPr>
          <w:lang w:val="fr-CA"/>
        </w:rPr>
        <w:t>Exigences</w:t>
      </w:r>
      <w:bookmarkEnd w:id="80"/>
    </w:p>
    <w:p w14:paraId="12E764FE" w14:textId="77777777" w:rsidR="00E96362" w:rsidRPr="00683937" w:rsidRDefault="00E96362" w:rsidP="00E96362">
      <w:pPr>
        <w:pStyle w:val="BodyText"/>
        <w:keepNext/>
        <w:spacing w:after="0"/>
        <w:rPr>
          <w:lang w:val="fr-CA"/>
        </w:rPr>
      </w:pPr>
      <w:r w:rsidRPr="00683937">
        <w:rPr>
          <w:lang w:val="fr-CA"/>
        </w:rPr>
        <w:t>Le titulaire de permis doit s’assurer que les opérateurs travaillant un quart de travail donné sont en mesure de contrôler et d</w:t>
      </w:r>
      <w:r>
        <w:rPr>
          <w:lang w:val="fr-CA"/>
        </w:rPr>
        <w:t>e maintenir</w:t>
      </w:r>
      <w:r w:rsidRPr="00683937">
        <w:rPr>
          <w:lang w:val="fr-CA"/>
        </w:rPr>
        <w:t xml:space="preserve"> l’installation et ses systèmes de soutien, et ce, à la fois :  </w:t>
      </w:r>
    </w:p>
    <w:p w14:paraId="521A1B6B" w14:textId="77777777" w:rsidR="00E96362" w:rsidRPr="00683937" w:rsidRDefault="00E96362" w:rsidP="00E96362">
      <w:pPr>
        <w:pStyle w:val="BulletList"/>
        <w:keepNext/>
        <w:numPr>
          <w:ilvl w:val="0"/>
          <w:numId w:val="8"/>
        </w:numPr>
        <w:ind w:left="1080"/>
        <w:rPr>
          <w:lang w:val="fr-CA"/>
        </w:rPr>
      </w:pPr>
      <w:r w:rsidRPr="00683937">
        <w:rPr>
          <w:lang w:val="fr-CA"/>
        </w:rPr>
        <w:t>dans les limites des configurations d</w:t>
      </w:r>
      <w:r>
        <w:rPr>
          <w:lang w:val="fr-CA"/>
        </w:rPr>
        <w:t>e l</w:t>
      </w:r>
      <w:r w:rsidRPr="00683937">
        <w:rPr>
          <w:lang w:val="fr-CA"/>
        </w:rPr>
        <w:t>’équipement qui ont été analysées</w:t>
      </w:r>
    </w:p>
    <w:p w14:paraId="4E9ACC16" w14:textId="77777777" w:rsidR="00E96362" w:rsidRPr="00683937" w:rsidRDefault="00E96362" w:rsidP="00E96362">
      <w:pPr>
        <w:pStyle w:val="BulletListLastItem"/>
        <w:numPr>
          <w:ilvl w:val="0"/>
          <w:numId w:val="8"/>
        </w:numPr>
        <w:ind w:left="1080"/>
        <w:rPr>
          <w:lang w:val="fr-CA"/>
        </w:rPr>
      </w:pPr>
      <w:r w:rsidRPr="00683937">
        <w:rPr>
          <w:lang w:val="fr-CA"/>
        </w:rPr>
        <w:t>dans le respect des procédures approuvées</w:t>
      </w:r>
    </w:p>
    <w:p w14:paraId="23943745" w14:textId="77777777" w:rsidR="00E96362" w:rsidRPr="00683937" w:rsidRDefault="00E96362" w:rsidP="00E96362">
      <w:pPr>
        <w:pStyle w:val="BodyText"/>
        <w:rPr>
          <w:lang w:val="fr-CA"/>
        </w:rPr>
      </w:pPr>
      <w:r w:rsidRPr="00683937">
        <w:rPr>
          <w:lang w:val="fr-CA"/>
        </w:rPr>
        <w:t>Lorsqu’une manœuvre est effectuée à distance dans une installation par un opérateur se trouvant dans la salle de commande, celui-ci doit s’assurer, en vérifiant les indicateurs pertinents, que la manœuvre a été exécutée correctement et que les résultats escomptés ont été atteints. Les actions de l’opérateur feront l’objet d’une vérification indépendante, au besoin.</w:t>
      </w:r>
    </w:p>
    <w:p w14:paraId="08190C4A" w14:textId="77777777" w:rsidR="00E96362" w:rsidRPr="00683937" w:rsidRDefault="00E96362" w:rsidP="00E96362">
      <w:pPr>
        <w:pStyle w:val="HeadingRequirementsorGuidanceLabel"/>
        <w:rPr>
          <w:lang w:val="fr-CA"/>
        </w:rPr>
      </w:pPr>
      <w:bookmarkStart w:id="81" w:name="_Toc140068999"/>
      <w:r w:rsidRPr="00683937">
        <w:rPr>
          <w:lang w:val="fr-CA"/>
        </w:rPr>
        <w:t>Orientation</w:t>
      </w:r>
      <w:bookmarkEnd w:id="81"/>
    </w:p>
    <w:p w14:paraId="43F92B87" w14:textId="77777777" w:rsidR="00E96362" w:rsidRPr="00683937" w:rsidRDefault="00E96362" w:rsidP="00E96362">
      <w:pPr>
        <w:pStyle w:val="BodyText"/>
        <w:rPr>
          <w:lang w:val="fr-CA"/>
        </w:rPr>
      </w:pPr>
      <w:r w:rsidRPr="00683937">
        <w:rPr>
          <w:lang w:val="fr-CA"/>
        </w:rPr>
        <w:t>Les opérateurs travaillant un quart de travail donné devraient limiter les opérations qui pourraient entraîner une condition ne s’inscrivant pas dans les configurations d’équipement qui ont été analysées.</w:t>
      </w:r>
    </w:p>
    <w:p w14:paraId="4907C02C" w14:textId="77777777" w:rsidR="00E96362" w:rsidRPr="00683937" w:rsidRDefault="00E96362" w:rsidP="00E96362">
      <w:pPr>
        <w:pStyle w:val="BodyText"/>
        <w:rPr>
          <w:lang w:val="fr-CA"/>
        </w:rPr>
      </w:pPr>
      <w:r w:rsidRPr="00683937">
        <w:rPr>
          <w:lang w:val="fr-CA"/>
        </w:rPr>
        <w:t>Les opérateurs devraient surveiller de près et périodiquement les paramètres importants de l’installation (par exemple, en effectuant une vérification horaire des panneaux de la salle de commande), même si ces paramètres sont également enregistrés par voie électronique. Si les opérateurs constatent une dérive des paramètres, ils devraient analyser la tendance et prendre les mesures qui s’imposent conformément aux procédures approuvées.</w:t>
      </w:r>
    </w:p>
    <w:p w14:paraId="49642190" w14:textId="77777777" w:rsidR="00E96362" w:rsidRPr="00683937" w:rsidRDefault="00E96362" w:rsidP="00E96362">
      <w:pPr>
        <w:pStyle w:val="Heading4"/>
        <w:rPr>
          <w:lang w:val="fr-CA"/>
        </w:rPr>
      </w:pPr>
      <w:bookmarkStart w:id="82" w:name="_Toc126324269"/>
      <w:bookmarkStart w:id="83" w:name="_Toc140069000"/>
      <w:bookmarkStart w:id="84" w:name="_Toc152766297"/>
      <w:r w:rsidRPr="00683937">
        <w:rPr>
          <w:lang w:val="fr-CA"/>
        </w:rPr>
        <w:t>Salles de commande d</w:t>
      </w:r>
      <w:r>
        <w:rPr>
          <w:lang w:val="fr-CA"/>
        </w:rPr>
        <w:t>es opérations</w:t>
      </w:r>
      <w:r w:rsidRPr="00683937">
        <w:rPr>
          <w:lang w:val="fr-CA"/>
        </w:rPr>
        <w:t xml:space="preserve"> et équipement de contrôle</w:t>
      </w:r>
      <w:bookmarkEnd w:id="82"/>
      <w:bookmarkEnd w:id="83"/>
      <w:bookmarkEnd w:id="84"/>
    </w:p>
    <w:p w14:paraId="21687964" w14:textId="77777777" w:rsidR="00E96362" w:rsidRPr="00683937" w:rsidRDefault="00E96362" w:rsidP="00E96362">
      <w:pPr>
        <w:pStyle w:val="HeadingRequirementsorGuidanceLabel"/>
        <w:rPr>
          <w:lang w:val="fr-CA"/>
        </w:rPr>
      </w:pPr>
      <w:bookmarkStart w:id="85" w:name="_Toc140069001"/>
      <w:r w:rsidRPr="00683937">
        <w:rPr>
          <w:lang w:val="fr-CA"/>
        </w:rPr>
        <w:t>Exigences</w:t>
      </w:r>
      <w:bookmarkEnd w:id="85"/>
    </w:p>
    <w:p w14:paraId="4005B045" w14:textId="77777777" w:rsidR="00E96362" w:rsidRPr="00683937" w:rsidRDefault="00E96362" w:rsidP="00E96362">
      <w:pPr>
        <w:pStyle w:val="BodyText"/>
        <w:rPr>
          <w:lang w:val="fr-CA"/>
        </w:rPr>
      </w:pPr>
      <w:r w:rsidRPr="00683937">
        <w:rPr>
          <w:lang w:val="fr-CA"/>
        </w:rPr>
        <w:t xml:space="preserve">Le titulaire de permis doit s’assurer que les conditions de travail dans les salles de commande permettent aux opérateurs de l’installation d’exercer leurs fonctions dans tous les états </w:t>
      </w:r>
      <w:r>
        <w:rPr>
          <w:lang w:val="fr-CA"/>
        </w:rPr>
        <w:t>de fonctionnement</w:t>
      </w:r>
      <w:r w:rsidRPr="00683937">
        <w:rPr>
          <w:lang w:val="fr-CA"/>
        </w:rPr>
        <w:t>. Le titulaire de permis doit prendre les mesures appropriées pour garantir l’habitabilité de la salle de commande dans des conditions d’accident, notamment en fournissant une protection contre les dangers décelables et en prenant des dispositions pour assurer la survie.</w:t>
      </w:r>
    </w:p>
    <w:p w14:paraId="354810B9" w14:textId="77777777" w:rsidR="00E96362" w:rsidRPr="00683937" w:rsidRDefault="00E96362" w:rsidP="00E96362">
      <w:pPr>
        <w:pStyle w:val="BodyText"/>
        <w:rPr>
          <w:lang w:val="fr-CA"/>
        </w:rPr>
      </w:pPr>
      <w:r w:rsidRPr="00683937">
        <w:rPr>
          <w:lang w:val="fr-CA"/>
        </w:rPr>
        <w:t>Le titulaire de permis doit veiller à ce que les opérateurs de salle de commande puissent facilement consulter la documentation d’exploitation, qui doit être maintenue à jour.</w:t>
      </w:r>
    </w:p>
    <w:p w14:paraId="28B651E4" w14:textId="77777777" w:rsidR="00E96362" w:rsidRPr="00683937" w:rsidRDefault="00E96362" w:rsidP="00E96362">
      <w:pPr>
        <w:pStyle w:val="HeadingRequirementsorGuidanceLabel"/>
        <w:rPr>
          <w:lang w:val="fr-CA"/>
        </w:rPr>
      </w:pPr>
      <w:bookmarkStart w:id="86" w:name="_Toc140069002"/>
      <w:r w:rsidRPr="00683937">
        <w:rPr>
          <w:lang w:val="fr-CA"/>
        </w:rPr>
        <w:t>Orientation</w:t>
      </w:r>
      <w:bookmarkEnd w:id="86"/>
    </w:p>
    <w:p w14:paraId="757052A5" w14:textId="19426041" w:rsidR="00E96362" w:rsidRDefault="00E96362" w:rsidP="00E96362">
      <w:pPr>
        <w:pStyle w:val="BodyText"/>
        <w:rPr>
          <w:lang w:val="fr-CA"/>
        </w:rPr>
      </w:pPr>
      <w:r w:rsidRPr="00683937">
        <w:rPr>
          <w:lang w:val="fr-CA"/>
        </w:rPr>
        <w:t>La documentation d’exploitation à jour comprend tous les renseignements nécessaires pour intervenir en cas de transitoire d’exploitation ou bien de situation problématique ou d’événement.</w:t>
      </w:r>
    </w:p>
    <w:p w14:paraId="227362A0" w14:textId="637AD8C5" w:rsidR="00FE7859" w:rsidRPr="00FE7859" w:rsidRDefault="00391D81" w:rsidP="00E96362">
      <w:pPr>
        <w:pStyle w:val="BodyText"/>
        <w:rPr>
          <w:lang w:val="fr-CA"/>
        </w:rPr>
      </w:pPr>
      <w:r w:rsidRPr="00B14D44">
        <w:rPr>
          <w:lang w:val="fr-CA"/>
        </w:rPr>
        <w:t>Pour obtenir des renseignements supplémentaires sur les conditions de travail, veuillez consulter le</w:t>
      </w:r>
      <w:r w:rsidRPr="00FE7859">
        <w:rPr>
          <w:lang w:val="fr-CA"/>
        </w:rPr>
        <w:t xml:space="preserve"> </w:t>
      </w:r>
      <w:r w:rsidR="00FE7859" w:rsidRPr="00FE7859">
        <w:rPr>
          <w:lang w:val="fr-CA"/>
        </w:rPr>
        <w:t>REGDOC</w:t>
      </w:r>
      <w:r w:rsidR="00FE7859" w:rsidRPr="00FE7859">
        <w:rPr>
          <w:lang w:val="fr-CA"/>
        </w:rPr>
        <w:noBreakHyphen/>
        <w:t xml:space="preserve">2.8.1, </w:t>
      </w:r>
      <w:r w:rsidR="00FE7859" w:rsidRPr="00FE7859">
        <w:rPr>
          <w:i/>
          <w:iCs/>
          <w:lang w:val="fr-CA"/>
        </w:rPr>
        <w:t>Santé et sécurité classiques</w:t>
      </w:r>
      <w:r w:rsidR="00FE7859" w:rsidRPr="00FE7859">
        <w:rPr>
          <w:lang w:val="fr-CA"/>
        </w:rPr>
        <w:t> </w:t>
      </w:r>
      <w:r w:rsidR="00DA55CE">
        <w:rPr>
          <w:lang w:val="fr-CA"/>
        </w:rPr>
        <w:t>[</w:t>
      </w:r>
      <w:r w:rsidR="00FE7859" w:rsidRPr="00FE7859">
        <w:rPr>
          <w:lang w:val="fr-CA"/>
        </w:rPr>
        <w:t>1</w:t>
      </w:r>
      <w:r w:rsidR="003F5908">
        <w:rPr>
          <w:lang w:val="fr-CA"/>
        </w:rPr>
        <w:t>8</w:t>
      </w:r>
      <w:r w:rsidR="00FE7859" w:rsidRPr="00FE7859">
        <w:rPr>
          <w:lang w:val="fr-CA"/>
        </w:rPr>
        <w:t>].</w:t>
      </w:r>
    </w:p>
    <w:p w14:paraId="711F7455" w14:textId="77777777" w:rsidR="00E96362" w:rsidRPr="00683937" w:rsidRDefault="00E96362" w:rsidP="00E96362">
      <w:pPr>
        <w:pStyle w:val="Heading4"/>
        <w:rPr>
          <w:lang w:val="fr-CA"/>
        </w:rPr>
      </w:pPr>
      <w:bookmarkStart w:id="87" w:name="_Toc126324270"/>
      <w:bookmarkStart w:id="88" w:name="_Toc140069003"/>
      <w:bookmarkStart w:id="89" w:name="_Toc152766298"/>
      <w:r>
        <w:rPr>
          <w:lang w:val="fr-CA"/>
        </w:rPr>
        <w:t>Salles</w:t>
      </w:r>
      <w:r w:rsidRPr="00683937">
        <w:rPr>
          <w:lang w:val="fr-CA"/>
        </w:rPr>
        <w:t xml:space="preserve"> de commande </w:t>
      </w:r>
      <w:r>
        <w:rPr>
          <w:lang w:val="fr-CA"/>
        </w:rPr>
        <w:t>auxiliaires</w:t>
      </w:r>
      <w:bookmarkEnd w:id="87"/>
      <w:bookmarkEnd w:id="88"/>
      <w:bookmarkEnd w:id="89"/>
    </w:p>
    <w:p w14:paraId="5EBECC66" w14:textId="77777777" w:rsidR="00E96362" w:rsidRPr="00683937" w:rsidRDefault="00E96362" w:rsidP="00E96362">
      <w:pPr>
        <w:pStyle w:val="HeadingRequirementsorGuidanceLabel"/>
        <w:rPr>
          <w:lang w:val="fr-CA"/>
        </w:rPr>
      </w:pPr>
      <w:bookmarkStart w:id="90" w:name="_Toc140069004"/>
      <w:r w:rsidRPr="00683937">
        <w:rPr>
          <w:lang w:val="fr-CA"/>
        </w:rPr>
        <w:t>Exigences</w:t>
      </w:r>
      <w:bookmarkEnd w:id="90"/>
    </w:p>
    <w:p w14:paraId="58B45812" w14:textId="77777777" w:rsidR="00E96362" w:rsidRPr="00683937" w:rsidRDefault="00E96362" w:rsidP="00E96362">
      <w:pPr>
        <w:pStyle w:val="BodyText"/>
        <w:keepNext/>
        <w:spacing w:after="0"/>
        <w:rPr>
          <w:lang w:val="fr-CA"/>
        </w:rPr>
      </w:pPr>
      <w:r w:rsidRPr="00683937">
        <w:rPr>
          <w:lang w:val="fr-CA"/>
        </w:rPr>
        <w:t xml:space="preserve">Le titulaire de permis doit veiller à ce que la salle de commande </w:t>
      </w:r>
      <w:r>
        <w:rPr>
          <w:lang w:val="fr-CA"/>
        </w:rPr>
        <w:t>auxiliaire</w:t>
      </w:r>
      <w:r w:rsidRPr="00683937">
        <w:rPr>
          <w:lang w:val="fr-CA"/>
        </w:rPr>
        <w:t xml:space="preserve"> et tous les autres panneaux opérationnels secondaires (ou </w:t>
      </w:r>
      <w:r>
        <w:rPr>
          <w:lang w:val="fr-CA"/>
        </w:rPr>
        <w:t>de secours</w:t>
      </w:r>
      <w:r w:rsidRPr="00683937">
        <w:rPr>
          <w:lang w:val="fr-CA"/>
        </w:rPr>
        <w:t>) qui se rapportent à des systèmes importants pour la sûreté se trouvant dans des lieux secondaires à l’extérieur de la salle de commande soient maintenus </w:t>
      </w:r>
      <w:r>
        <w:rPr>
          <w:lang w:val="fr-CA"/>
        </w:rPr>
        <w:t>pour être </w:t>
      </w:r>
      <w:r w:rsidRPr="00683937">
        <w:rPr>
          <w:lang w:val="fr-CA"/>
        </w:rPr>
        <w:t>:</w:t>
      </w:r>
    </w:p>
    <w:p w14:paraId="19A37D6A" w14:textId="77777777" w:rsidR="00E96362" w:rsidRPr="00683937" w:rsidRDefault="00E96362" w:rsidP="00E96362">
      <w:pPr>
        <w:pStyle w:val="BulletList"/>
        <w:keepNext/>
        <w:numPr>
          <w:ilvl w:val="0"/>
          <w:numId w:val="8"/>
        </w:numPr>
        <w:ind w:left="1080"/>
        <w:rPr>
          <w:lang w:val="fr-CA"/>
        </w:rPr>
      </w:pPr>
      <w:r w:rsidRPr="00683937">
        <w:rPr>
          <w:lang w:val="fr-CA"/>
        </w:rPr>
        <w:t xml:space="preserve">prêts à fonctionner </w:t>
      </w:r>
    </w:p>
    <w:p w14:paraId="300EFAF0" w14:textId="77777777" w:rsidR="00E96362" w:rsidRPr="00683937" w:rsidRDefault="00E96362" w:rsidP="00E96362">
      <w:pPr>
        <w:pStyle w:val="BulletList"/>
        <w:keepNext/>
        <w:numPr>
          <w:ilvl w:val="0"/>
          <w:numId w:val="8"/>
        </w:numPr>
        <w:ind w:left="1080"/>
        <w:rPr>
          <w:lang w:val="fr-CA"/>
        </w:rPr>
      </w:pPr>
      <w:r w:rsidRPr="00683937">
        <w:rPr>
          <w:lang w:val="fr-CA"/>
        </w:rPr>
        <w:t>exempts de tout obstacle</w:t>
      </w:r>
    </w:p>
    <w:p w14:paraId="49BDA234" w14:textId="77777777" w:rsidR="00E96362" w:rsidRPr="00683937" w:rsidRDefault="00E96362" w:rsidP="00E96362">
      <w:pPr>
        <w:pStyle w:val="BulletListLastItem"/>
        <w:numPr>
          <w:ilvl w:val="0"/>
          <w:numId w:val="8"/>
        </w:numPr>
        <w:ind w:left="1080"/>
        <w:rPr>
          <w:lang w:val="fr-CA"/>
        </w:rPr>
      </w:pPr>
      <w:r w:rsidRPr="00683937">
        <w:rPr>
          <w:lang w:val="fr-CA"/>
        </w:rPr>
        <w:t>exempts de matériel non essentiel qui empêcherait leur fonctionnement immédiat</w:t>
      </w:r>
    </w:p>
    <w:p w14:paraId="0B0476A4" w14:textId="540A52A5" w:rsidR="00E96362" w:rsidRPr="00683937" w:rsidRDefault="00E96362" w:rsidP="00E96362">
      <w:pPr>
        <w:pStyle w:val="BodyText"/>
        <w:rPr>
          <w:lang w:val="fr-CA"/>
        </w:rPr>
      </w:pPr>
      <w:r w:rsidRPr="00683937">
        <w:rPr>
          <w:lang w:val="fr-CA"/>
        </w:rPr>
        <w:t xml:space="preserve">Le titulaire de permis doit confirmer que la salle de commande </w:t>
      </w:r>
      <w:r>
        <w:rPr>
          <w:lang w:val="fr-CA"/>
        </w:rPr>
        <w:t>auxiliaire</w:t>
      </w:r>
      <w:r w:rsidRPr="00683937">
        <w:rPr>
          <w:lang w:val="fr-CA"/>
        </w:rPr>
        <w:t xml:space="preserve"> et tous les autres panneaux opérationnels liés à la sûreté sont dûment prêts à fonctionner; ils doivent notamment être assortis d’une documentation à jour et de systèmes de communication et d’alarme en état de fonctionner, et l’habitabilité doit être adéquate.</w:t>
      </w:r>
      <w:r w:rsidR="00C92C50">
        <w:rPr>
          <w:lang w:val="fr-CA"/>
        </w:rPr>
        <w:t xml:space="preserve"> </w:t>
      </w:r>
      <w:r w:rsidR="00755170" w:rsidRPr="00755170">
        <w:rPr>
          <w:lang w:val="fr-CA"/>
        </w:rPr>
        <w:t>Le titulaire de permis doit définir la fréquence de ces confirmations.</w:t>
      </w:r>
    </w:p>
    <w:p w14:paraId="45482B93" w14:textId="50B9BB22" w:rsidR="00E96362" w:rsidRPr="00683937" w:rsidRDefault="00E96362" w:rsidP="00E96362">
      <w:pPr>
        <w:pStyle w:val="BodyText"/>
        <w:rPr>
          <w:lang w:val="fr-CA"/>
        </w:rPr>
      </w:pPr>
      <w:r w:rsidRPr="00683937">
        <w:rPr>
          <w:lang w:val="fr-CA"/>
        </w:rPr>
        <w:t xml:space="preserve">Le titulaire de permis doit établir des lignes de communication </w:t>
      </w:r>
      <w:r w:rsidR="00391D81">
        <w:rPr>
          <w:lang w:val="fr-CA"/>
        </w:rPr>
        <w:t xml:space="preserve">entre les </w:t>
      </w:r>
      <w:r w:rsidR="00391D81" w:rsidRPr="00B14D44">
        <w:rPr>
          <w:lang w:val="fr-CA"/>
        </w:rPr>
        <w:t>salles de commande</w:t>
      </w:r>
      <w:r w:rsidR="00391D81" w:rsidRPr="00B14D44" w:rsidDel="006A1C9D">
        <w:rPr>
          <w:lang w:val="fr-CA"/>
        </w:rPr>
        <w:t xml:space="preserve"> </w:t>
      </w:r>
      <w:r w:rsidR="00755170" w:rsidRPr="00755170">
        <w:rPr>
          <w:lang w:val="fr-CA"/>
        </w:rPr>
        <w:t xml:space="preserve">primaire et auxiliaire </w:t>
      </w:r>
      <w:r w:rsidRPr="00683937">
        <w:rPr>
          <w:lang w:val="fr-CA"/>
        </w:rPr>
        <w:t>pour assurer un transfert d’information adéquat entre les opérateurs</w:t>
      </w:r>
      <w:r w:rsidR="00636612">
        <w:rPr>
          <w:lang w:val="fr-CA"/>
        </w:rPr>
        <w:t xml:space="preserve"> </w:t>
      </w:r>
      <w:r w:rsidR="009D7327">
        <w:rPr>
          <w:lang w:val="fr-CA"/>
        </w:rPr>
        <w:t>pendant toutes les conditions d’exploitation</w:t>
      </w:r>
      <w:r w:rsidRPr="00683937">
        <w:rPr>
          <w:lang w:val="fr-CA"/>
        </w:rPr>
        <w:t>.</w:t>
      </w:r>
    </w:p>
    <w:p w14:paraId="7CBC7081" w14:textId="77777777" w:rsidR="00E96362" w:rsidRPr="00683937" w:rsidRDefault="00E96362" w:rsidP="00E96362">
      <w:pPr>
        <w:pStyle w:val="HeadingRequirementsorGuidanceLabel"/>
        <w:rPr>
          <w:lang w:val="fr-CA"/>
        </w:rPr>
      </w:pPr>
      <w:bookmarkStart w:id="91" w:name="_Toc140069005"/>
      <w:r w:rsidRPr="00683937">
        <w:rPr>
          <w:lang w:val="fr-CA"/>
        </w:rPr>
        <w:t>Orientation</w:t>
      </w:r>
      <w:bookmarkEnd w:id="91"/>
    </w:p>
    <w:p w14:paraId="6434F75A" w14:textId="77777777" w:rsidR="00E96362" w:rsidRPr="00683937" w:rsidRDefault="00E96362" w:rsidP="00E96362">
      <w:pPr>
        <w:pStyle w:val="BodyText"/>
        <w:keepNext/>
        <w:spacing w:after="0"/>
        <w:rPr>
          <w:lang w:val="fr-CA"/>
        </w:rPr>
      </w:pPr>
      <w:r w:rsidRPr="00683937">
        <w:rPr>
          <w:lang w:val="fr-CA"/>
        </w:rPr>
        <w:t>Voici quelques exemples de lignes de communication :</w:t>
      </w:r>
    </w:p>
    <w:p w14:paraId="5F022683" w14:textId="77777777" w:rsidR="00E96362" w:rsidRPr="00683937" w:rsidRDefault="00E96362" w:rsidP="00E96362">
      <w:pPr>
        <w:pStyle w:val="BulletList"/>
        <w:keepNext/>
        <w:numPr>
          <w:ilvl w:val="0"/>
          <w:numId w:val="8"/>
        </w:numPr>
        <w:ind w:left="1077" w:hanging="357"/>
        <w:rPr>
          <w:lang w:val="fr-CA"/>
        </w:rPr>
      </w:pPr>
      <w:r>
        <w:rPr>
          <w:lang w:val="fr-CA"/>
        </w:rPr>
        <w:t>d</w:t>
      </w:r>
      <w:r w:rsidRPr="00683937">
        <w:rPr>
          <w:lang w:val="fr-CA"/>
        </w:rPr>
        <w:t>es renseignements appropriés sont affichés dans la salle de commande et le centre de commande des travaux d’entretien</w:t>
      </w:r>
    </w:p>
    <w:p w14:paraId="708C623A"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 « plan quotidien » comprend une discussion des points pertinents</w:t>
      </w:r>
    </w:p>
    <w:p w14:paraId="54A147D3"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orsqu’ils communiquent par radio bidirectionnelle portative, les opérateurs sur le terrain et les opérateurs se trouvant dans la salle de commande principale veillent à ce que les transmissions soient claires et concises</w:t>
      </w:r>
    </w:p>
    <w:p w14:paraId="4A4D5420" w14:textId="77777777" w:rsidR="00E96362" w:rsidRPr="00683937" w:rsidRDefault="00E96362" w:rsidP="00E96362">
      <w:pPr>
        <w:pStyle w:val="Heading4"/>
        <w:rPr>
          <w:lang w:val="fr-CA"/>
        </w:rPr>
      </w:pPr>
      <w:bookmarkStart w:id="92" w:name="_Toc126324271"/>
      <w:bookmarkStart w:id="93" w:name="_Toc140069006"/>
      <w:bookmarkStart w:id="94" w:name="_Toc152766299"/>
      <w:r w:rsidRPr="00683937">
        <w:rPr>
          <w:lang w:val="fr-CA"/>
        </w:rPr>
        <w:t>Surveillance et intervention en cas d’alarme</w:t>
      </w:r>
      <w:bookmarkEnd w:id="92"/>
      <w:bookmarkEnd w:id="93"/>
      <w:bookmarkEnd w:id="94"/>
    </w:p>
    <w:p w14:paraId="13A12DBD" w14:textId="77777777" w:rsidR="00E96362" w:rsidRPr="00683937" w:rsidRDefault="00E96362" w:rsidP="00E96362">
      <w:pPr>
        <w:pStyle w:val="HeadingRequirementsorGuidanceLabel"/>
        <w:rPr>
          <w:lang w:val="fr-CA"/>
        </w:rPr>
      </w:pPr>
      <w:bookmarkStart w:id="95" w:name="_Toc140069007"/>
      <w:r w:rsidRPr="00683937">
        <w:rPr>
          <w:lang w:val="fr-CA"/>
        </w:rPr>
        <w:t>Exigences</w:t>
      </w:r>
      <w:bookmarkEnd w:id="95"/>
    </w:p>
    <w:p w14:paraId="29646488" w14:textId="77777777" w:rsidR="00E96362" w:rsidRPr="00683937" w:rsidRDefault="00E96362" w:rsidP="00E96362">
      <w:pPr>
        <w:pStyle w:val="BodyText"/>
        <w:keepNext/>
        <w:spacing w:after="0"/>
        <w:rPr>
          <w:lang w:val="fr-CA"/>
        </w:rPr>
      </w:pPr>
      <w:r w:rsidRPr="00683937">
        <w:rPr>
          <w:lang w:val="fr-CA"/>
        </w:rPr>
        <w:t>Le titulaire de permis doit établir et mettre en œuvre des mesures de surveillance des conditions de l’installation par les opérateurs de la salle de commande, notamment les mesures suivantes :</w:t>
      </w:r>
    </w:p>
    <w:p w14:paraId="0B718A14" w14:textId="77777777" w:rsidR="00E96362" w:rsidRPr="00683937" w:rsidRDefault="00E96362" w:rsidP="00E96362">
      <w:pPr>
        <w:pStyle w:val="BulletList"/>
        <w:keepNext/>
        <w:numPr>
          <w:ilvl w:val="0"/>
          <w:numId w:val="8"/>
        </w:numPr>
        <w:ind w:left="1080"/>
        <w:rPr>
          <w:lang w:val="fr-CA"/>
        </w:rPr>
      </w:pPr>
      <w:r>
        <w:rPr>
          <w:lang w:val="fr-CA"/>
        </w:rPr>
        <w:t>s</w:t>
      </w:r>
      <w:r w:rsidRPr="00683937">
        <w:rPr>
          <w:lang w:val="fr-CA"/>
        </w:rPr>
        <w:t>urveillance des panneaux</w:t>
      </w:r>
    </w:p>
    <w:p w14:paraId="1DCADE7C" w14:textId="77777777" w:rsidR="00E96362" w:rsidRPr="00683937" w:rsidRDefault="00E96362" w:rsidP="00E96362">
      <w:pPr>
        <w:pStyle w:val="BulletList"/>
        <w:keepNext/>
        <w:numPr>
          <w:ilvl w:val="0"/>
          <w:numId w:val="8"/>
        </w:numPr>
        <w:ind w:left="1080"/>
        <w:rPr>
          <w:lang w:val="fr-CA"/>
        </w:rPr>
      </w:pPr>
      <w:r>
        <w:rPr>
          <w:lang w:val="fr-CA"/>
        </w:rPr>
        <w:t>i</w:t>
      </w:r>
      <w:r w:rsidRPr="00683937">
        <w:rPr>
          <w:lang w:val="fr-CA"/>
        </w:rPr>
        <w:t>nterventions en cas d’alarme</w:t>
      </w:r>
    </w:p>
    <w:p w14:paraId="0AC5FDE3" w14:textId="77777777" w:rsidR="00E96362" w:rsidRPr="00683937" w:rsidRDefault="00E96362" w:rsidP="00E96362">
      <w:pPr>
        <w:pStyle w:val="BulletListLastItem"/>
        <w:numPr>
          <w:ilvl w:val="0"/>
          <w:numId w:val="8"/>
        </w:numPr>
        <w:ind w:left="1080"/>
        <w:rPr>
          <w:lang w:val="fr-CA"/>
        </w:rPr>
      </w:pPr>
      <w:r>
        <w:rPr>
          <w:lang w:val="fr-CA"/>
        </w:rPr>
        <w:t>actions</w:t>
      </w:r>
      <w:r w:rsidRPr="00683937">
        <w:rPr>
          <w:lang w:val="fr-CA"/>
        </w:rPr>
        <w:t xml:space="preserve"> </w:t>
      </w:r>
      <w:r>
        <w:rPr>
          <w:lang w:val="fr-CA"/>
        </w:rPr>
        <w:t xml:space="preserve">initiales et continues de </w:t>
      </w:r>
      <w:r w:rsidRPr="00683937">
        <w:rPr>
          <w:lang w:val="fr-CA"/>
        </w:rPr>
        <w:t>l’opérateur pour intervenir en cas d’alarme</w:t>
      </w:r>
    </w:p>
    <w:p w14:paraId="68A9A1D6" w14:textId="77777777" w:rsidR="00E96362" w:rsidRPr="00683937" w:rsidRDefault="00E96362" w:rsidP="00E96362">
      <w:pPr>
        <w:pStyle w:val="BodyText"/>
        <w:rPr>
          <w:lang w:val="fr-CA"/>
        </w:rPr>
      </w:pPr>
      <w:r w:rsidRPr="00683937">
        <w:rPr>
          <w:lang w:val="fr-CA"/>
        </w:rPr>
        <w:t>Le titulaire de permis doit établir des procédures à l’intention des opérateurs aux fins de gestion des interventions en cas d’alarme. Ces procédures doivent prévoir une fréquence de surveillance des panneaux qui permet de détecter rapidement un état défectueux.</w:t>
      </w:r>
    </w:p>
    <w:p w14:paraId="4EB28DAC" w14:textId="77777777" w:rsidR="00E96362" w:rsidRPr="00683937" w:rsidRDefault="00E96362" w:rsidP="00E96362">
      <w:pPr>
        <w:pStyle w:val="BodyText"/>
        <w:keepNext/>
        <w:spacing w:after="0"/>
        <w:rPr>
          <w:lang w:val="fr-CA"/>
        </w:rPr>
      </w:pPr>
      <w:r w:rsidRPr="00683937">
        <w:rPr>
          <w:lang w:val="fr-CA"/>
        </w:rPr>
        <w:t>Le titulaire de permis doit s’assurer que :</w:t>
      </w:r>
    </w:p>
    <w:p w14:paraId="32F1CDC9" w14:textId="1E8BE0A2" w:rsidR="00E96362" w:rsidRPr="00683937" w:rsidRDefault="00E96362" w:rsidP="00E96362">
      <w:pPr>
        <w:pStyle w:val="BulletList"/>
        <w:keepNext/>
        <w:numPr>
          <w:ilvl w:val="0"/>
          <w:numId w:val="8"/>
        </w:numPr>
        <w:ind w:left="1080"/>
        <w:rPr>
          <w:lang w:val="fr-CA"/>
        </w:rPr>
      </w:pPr>
      <w:r w:rsidRPr="00683937">
        <w:rPr>
          <w:lang w:val="fr-CA"/>
        </w:rPr>
        <w:t xml:space="preserve">les alarmes dans la salle de commande principale sont gérées </w:t>
      </w:r>
      <w:r w:rsidR="00391D81" w:rsidRPr="00B14D44">
        <w:rPr>
          <w:lang w:val="fr-CA"/>
        </w:rPr>
        <w:t>de manière appropriée</w:t>
      </w:r>
    </w:p>
    <w:p w14:paraId="01706ABF" w14:textId="77777777" w:rsidR="00E96362" w:rsidRPr="00683937" w:rsidRDefault="00E96362" w:rsidP="00E96362">
      <w:pPr>
        <w:pStyle w:val="BulletList"/>
        <w:numPr>
          <w:ilvl w:val="0"/>
          <w:numId w:val="8"/>
        </w:numPr>
        <w:ind w:left="1080"/>
        <w:rPr>
          <w:lang w:val="fr-CA"/>
        </w:rPr>
      </w:pPr>
      <w:r w:rsidRPr="00683937">
        <w:rPr>
          <w:lang w:val="fr-CA"/>
        </w:rPr>
        <w:t xml:space="preserve">le système d’information de l’installation est conçu de sorte que les opérateurs puissent facilement reconnaître les conditions </w:t>
      </w:r>
      <w:r>
        <w:rPr>
          <w:lang w:val="fr-CA"/>
        </w:rPr>
        <w:t>anormales</w:t>
      </w:r>
    </w:p>
    <w:p w14:paraId="50BBC2E1" w14:textId="77777777" w:rsidR="00E96362" w:rsidRPr="00683937" w:rsidRDefault="00E96362" w:rsidP="00E96362">
      <w:pPr>
        <w:pStyle w:val="BulletList"/>
        <w:keepNext/>
        <w:numPr>
          <w:ilvl w:val="0"/>
          <w:numId w:val="8"/>
        </w:numPr>
        <w:ind w:left="1077" w:hanging="357"/>
        <w:rPr>
          <w:lang w:val="fr-CA"/>
        </w:rPr>
      </w:pPr>
      <w:r w:rsidRPr="00683937">
        <w:rPr>
          <w:lang w:val="fr-CA"/>
        </w:rPr>
        <w:t xml:space="preserve">les alarmes de </w:t>
      </w:r>
      <w:r>
        <w:rPr>
          <w:lang w:val="fr-CA"/>
        </w:rPr>
        <w:t xml:space="preserve">la </w:t>
      </w:r>
      <w:r w:rsidRPr="00683937">
        <w:rPr>
          <w:lang w:val="fr-CA"/>
        </w:rPr>
        <w:t>salle de commande appellent une intervention prioritaire de la part des opérateurs</w:t>
      </w:r>
    </w:p>
    <w:p w14:paraId="4E3012FF" w14:textId="77777777" w:rsidR="00E96362" w:rsidRPr="00683937" w:rsidRDefault="00E96362" w:rsidP="00E96362">
      <w:pPr>
        <w:pStyle w:val="BulletListLastItem"/>
        <w:keepNext/>
        <w:numPr>
          <w:ilvl w:val="0"/>
          <w:numId w:val="8"/>
        </w:numPr>
        <w:spacing w:after="0"/>
        <w:ind w:left="1077" w:hanging="357"/>
        <w:rPr>
          <w:lang w:val="fr-CA"/>
        </w:rPr>
      </w:pPr>
      <w:r w:rsidRPr="00683937">
        <w:rPr>
          <w:lang w:val="fr-CA"/>
        </w:rPr>
        <w:t>des procédures sont en place pour :</w:t>
      </w:r>
    </w:p>
    <w:p w14:paraId="25559D1A" w14:textId="77777777" w:rsidR="00E96362" w:rsidRPr="00683937" w:rsidRDefault="00E96362" w:rsidP="00E96362">
      <w:pPr>
        <w:pStyle w:val="BulletListSub-item"/>
        <w:numPr>
          <w:ilvl w:val="0"/>
          <w:numId w:val="7"/>
        </w:numPr>
        <w:ind w:left="1440"/>
        <w:rPr>
          <w:lang w:val="fr-CA"/>
        </w:rPr>
      </w:pPr>
      <w:r w:rsidRPr="00683937">
        <w:rPr>
          <w:lang w:val="fr-CA"/>
        </w:rPr>
        <w:t xml:space="preserve">mettre les alarmes hors service et en service lorsque la situation justifie la réduction des alarmes au minimum, y compris les messages d’alarme de l’ordinateur industriel, pour tout état </w:t>
      </w:r>
      <w:r>
        <w:rPr>
          <w:lang w:val="fr-CA"/>
        </w:rPr>
        <w:t>de fonctionnement</w:t>
      </w:r>
      <w:r w:rsidRPr="00683937">
        <w:rPr>
          <w:lang w:val="fr-CA"/>
        </w:rPr>
        <w:t>, arrêt ou condition d’accident analysé de l’installation</w:t>
      </w:r>
    </w:p>
    <w:p w14:paraId="6078A777" w14:textId="77777777" w:rsidR="00E96362" w:rsidRPr="00683937" w:rsidRDefault="00E96362" w:rsidP="00E96362">
      <w:pPr>
        <w:pStyle w:val="BulletListSub-item"/>
        <w:numPr>
          <w:ilvl w:val="0"/>
          <w:numId w:val="7"/>
        </w:numPr>
        <w:ind w:left="1440"/>
        <w:rPr>
          <w:lang w:val="fr-CA"/>
        </w:rPr>
      </w:pPr>
      <w:r w:rsidRPr="00683937">
        <w:rPr>
          <w:lang w:val="fr-CA"/>
        </w:rPr>
        <w:t>indiquer la marche à suivre en cas d’alarme intempestive ou fréquente</w:t>
      </w:r>
    </w:p>
    <w:p w14:paraId="0FBD62D7" w14:textId="77777777" w:rsidR="00E96362" w:rsidRPr="00683937" w:rsidRDefault="00E96362" w:rsidP="00E96362">
      <w:pPr>
        <w:pStyle w:val="HeadingRequirementsorGuidanceLabel"/>
        <w:rPr>
          <w:lang w:val="fr-CA"/>
        </w:rPr>
      </w:pPr>
      <w:bookmarkStart w:id="96" w:name="_Toc140069008"/>
      <w:r w:rsidRPr="00683937">
        <w:rPr>
          <w:lang w:val="fr-CA"/>
        </w:rPr>
        <w:t>Orientation</w:t>
      </w:r>
      <w:bookmarkEnd w:id="96"/>
    </w:p>
    <w:p w14:paraId="6F858714" w14:textId="7BC23750" w:rsidR="00E96362" w:rsidRPr="00683937" w:rsidRDefault="00E96362" w:rsidP="00E96362">
      <w:pPr>
        <w:pStyle w:val="BodyText"/>
        <w:rPr>
          <w:lang w:val="fr-CA"/>
        </w:rPr>
      </w:pPr>
      <w:r w:rsidRPr="00683937">
        <w:rPr>
          <w:lang w:val="fr-CA"/>
        </w:rPr>
        <w:t xml:space="preserve">Mentionnons à titre d’exemples d’alarmes qu’il convient de réduire au minimum les alarmes d’entretien, les alarmes de mise à l’essai de l’exploitabilité et </w:t>
      </w:r>
      <w:r>
        <w:rPr>
          <w:lang w:val="fr-CA"/>
        </w:rPr>
        <w:t>autres</w:t>
      </w:r>
      <w:r w:rsidRPr="00683937">
        <w:rPr>
          <w:lang w:val="fr-CA"/>
        </w:rPr>
        <w:t xml:space="preserve"> alarmes similaires. Pour obtenir plus d’information, veuillez consulter le REGDOC-2.5.2, </w:t>
      </w:r>
      <w:r w:rsidRPr="00683937">
        <w:rPr>
          <w:i/>
          <w:iCs/>
          <w:lang w:val="fr-CA"/>
        </w:rPr>
        <w:t>Conception d’installations dotées de réacteurs</w:t>
      </w:r>
      <w:r w:rsidRPr="00683937">
        <w:rPr>
          <w:lang w:val="fr-CA"/>
        </w:rPr>
        <w:t> [1</w:t>
      </w:r>
      <w:r w:rsidR="003F5908">
        <w:rPr>
          <w:lang w:val="fr-CA"/>
        </w:rPr>
        <w:t>1</w:t>
      </w:r>
      <w:r w:rsidRPr="00683937">
        <w:rPr>
          <w:lang w:val="fr-CA"/>
        </w:rPr>
        <w:t>].</w:t>
      </w:r>
    </w:p>
    <w:p w14:paraId="709BF436" w14:textId="77777777" w:rsidR="00E96362" w:rsidRPr="00683937" w:rsidRDefault="00E96362" w:rsidP="00E96362">
      <w:pPr>
        <w:pStyle w:val="BodyText"/>
        <w:rPr>
          <w:lang w:val="fr-CA"/>
        </w:rPr>
      </w:pPr>
      <w:r w:rsidRPr="00683937">
        <w:rPr>
          <w:lang w:val="fr-CA"/>
        </w:rPr>
        <w:t xml:space="preserve">Les alarmes qui sont intempestives ou qui se déclenchent fréquemment, y compris les alarmes injustifiées, devraient faire l’objet d’une enquête et, au besoin, devraient être rectifiées au moyen de mesures correctives.  </w:t>
      </w:r>
    </w:p>
    <w:p w14:paraId="29F4B5D4" w14:textId="77777777" w:rsidR="00E96362" w:rsidRPr="00683937" w:rsidRDefault="00E96362" w:rsidP="00E96362">
      <w:pPr>
        <w:pStyle w:val="BodyText"/>
        <w:rPr>
          <w:lang w:val="fr-CA"/>
        </w:rPr>
      </w:pPr>
      <w:bookmarkStart w:id="97" w:name="_Toc126324272"/>
      <w:r w:rsidRPr="00683937">
        <w:rPr>
          <w:lang w:val="fr-CA"/>
        </w:rPr>
        <w:t>Le titulaire de permis devrait s’assurer que la salle de commande est dotée d’un système d’affichage des paramètres de sûreté (SAPS) qui présente suffisamment d’information sur les paramètres de sûreté essentiels pour le diagnostic et l’atténuation des accidents de dimensionnement (AD). Le titulaire de permis devrait s’assurer que les opérateurs surveillent activement l’état du procédé et de l’équipement de l’installation.</w:t>
      </w:r>
    </w:p>
    <w:p w14:paraId="2BF04362" w14:textId="77777777" w:rsidR="00E96362" w:rsidRPr="00683937" w:rsidRDefault="00E96362" w:rsidP="00E96362">
      <w:pPr>
        <w:pStyle w:val="Heading4"/>
        <w:rPr>
          <w:lang w:val="fr-CA"/>
        </w:rPr>
      </w:pPr>
      <w:bookmarkStart w:id="98" w:name="_Toc140069009"/>
      <w:bookmarkStart w:id="99" w:name="_Toc152766300"/>
      <w:r w:rsidRPr="00683937">
        <w:rPr>
          <w:lang w:val="fr-CA"/>
        </w:rPr>
        <w:t>Conditions matérielles et tenue des lieux</w:t>
      </w:r>
      <w:bookmarkEnd w:id="97"/>
      <w:bookmarkEnd w:id="98"/>
      <w:bookmarkEnd w:id="99"/>
    </w:p>
    <w:p w14:paraId="3B55D760" w14:textId="77777777" w:rsidR="00E96362" w:rsidRPr="00683937" w:rsidRDefault="00E96362" w:rsidP="00E96362">
      <w:pPr>
        <w:pStyle w:val="HeadingRequirementsorGuidanceLabel"/>
        <w:rPr>
          <w:lang w:val="fr-CA"/>
        </w:rPr>
      </w:pPr>
      <w:bookmarkStart w:id="100" w:name="_Toc140069010"/>
      <w:r w:rsidRPr="00683937">
        <w:rPr>
          <w:lang w:val="fr-CA"/>
        </w:rPr>
        <w:t>Exigences</w:t>
      </w:r>
      <w:bookmarkEnd w:id="100"/>
    </w:p>
    <w:p w14:paraId="6734505E" w14:textId="77777777" w:rsidR="00E96362" w:rsidRPr="00683937" w:rsidRDefault="00E96362" w:rsidP="00E96362">
      <w:pPr>
        <w:pStyle w:val="BodyText"/>
        <w:keepNext/>
        <w:spacing w:after="0"/>
        <w:rPr>
          <w:lang w:val="fr-CA"/>
        </w:rPr>
      </w:pPr>
      <w:r w:rsidRPr="00683937">
        <w:rPr>
          <w:lang w:val="fr-CA"/>
        </w:rPr>
        <w:t>Le titulaire de permis doit établir des dispositions pour s’assurer que :</w:t>
      </w:r>
    </w:p>
    <w:p w14:paraId="5CFC25D3" w14:textId="77777777" w:rsidR="00E96362" w:rsidRPr="00683937" w:rsidRDefault="00E96362" w:rsidP="00E96362">
      <w:pPr>
        <w:pStyle w:val="BulletList"/>
        <w:keepNext/>
        <w:numPr>
          <w:ilvl w:val="0"/>
          <w:numId w:val="8"/>
        </w:numPr>
        <w:ind w:left="1080"/>
        <w:rPr>
          <w:lang w:val="fr-CA"/>
        </w:rPr>
      </w:pPr>
      <w:r w:rsidRPr="00683937">
        <w:rPr>
          <w:lang w:val="fr-CA"/>
        </w:rPr>
        <w:t>les lieux et l’équipement d’exploitation sont entretenus, bien éclairés et accessibles</w:t>
      </w:r>
    </w:p>
    <w:p w14:paraId="5043FD46" w14:textId="77777777" w:rsidR="00E96362" w:rsidRPr="00683937" w:rsidRDefault="00E96362" w:rsidP="00E96362">
      <w:pPr>
        <w:pStyle w:val="BulletList"/>
        <w:numPr>
          <w:ilvl w:val="0"/>
          <w:numId w:val="8"/>
        </w:numPr>
        <w:ind w:left="1080"/>
        <w:rPr>
          <w:lang w:val="fr-CA"/>
        </w:rPr>
      </w:pPr>
      <w:r w:rsidRPr="00683937">
        <w:rPr>
          <w:lang w:val="fr-CA"/>
        </w:rPr>
        <w:t>l’entreposage est contrôlé et limité</w:t>
      </w:r>
    </w:p>
    <w:p w14:paraId="5B58364D" w14:textId="3F11067A" w:rsidR="00E96362" w:rsidRPr="00683937" w:rsidRDefault="00E96362" w:rsidP="00E96362">
      <w:pPr>
        <w:pStyle w:val="BulletList"/>
        <w:keepNext/>
        <w:numPr>
          <w:ilvl w:val="0"/>
          <w:numId w:val="8"/>
        </w:numPr>
        <w:ind w:left="1077" w:hanging="357"/>
        <w:rPr>
          <w:lang w:val="fr-CA"/>
        </w:rPr>
      </w:pPr>
      <w:r w:rsidRPr="00683937">
        <w:rPr>
          <w:lang w:val="fr-CA"/>
        </w:rPr>
        <w:t xml:space="preserve">l’équipement qui est dégradé (par exemple, en raison de fuites, de zones de corrosion, de pièces </w:t>
      </w:r>
      <w:r>
        <w:rPr>
          <w:lang w:val="fr-CA"/>
        </w:rPr>
        <w:t>desserrées</w:t>
      </w:r>
      <w:r w:rsidRPr="00683937">
        <w:rPr>
          <w:lang w:val="fr-CA"/>
        </w:rPr>
        <w:t xml:space="preserve"> ou d’un isolant thermique endommagé) est repéré</w:t>
      </w:r>
      <w:r w:rsidR="00636612">
        <w:rPr>
          <w:lang w:val="fr-CA"/>
        </w:rPr>
        <w:t xml:space="preserve">, </w:t>
      </w:r>
      <w:r w:rsidR="009D7327">
        <w:rPr>
          <w:lang w:val="fr-CA"/>
        </w:rPr>
        <w:t>surveillé et réparé</w:t>
      </w:r>
    </w:p>
    <w:p w14:paraId="622819F0" w14:textId="2057401E" w:rsidR="00E96362" w:rsidRPr="00683937" w:rsidRDefault="00E96362" w:rsidP="00E96362">
      <w:pPr>
        <w:pStyle w:val="BulletList"/>
        <w:keepNext/>
        <w:numPr>
          <w:ilvl w:val="0"/>
          <w:numId w:val="8"/>
        </w:numPr>
        <w:ind w:left="1077" w:hanging="357"/>
        <w:rPr>
          <w:lang w:val="fr-CA"/>
        </w:rPr>
      </w:pPr>
      <w:r w:rsidRPr="00683937">
        <w:rPr>
          <w:lang w:val="fr-CA"/>
        </w:rPr>
        <w:t>les problèmes et les défectuosités sont décelés</w:t>
      </w:r>
      <w:r w:rsidR="00FE7859">
        <w:rPr>
          <w:lang w:val="fr-CA"/>
        </w:rPr>
        <w:t>,</w:t>
      </w:r>
      <w:r w:rsidRPr="00683937">
        <w:rPr>
          <w:lang w:val="fr-CA"/>
        </w:rPr>
        <w:t xml:space="preserve"> </w:t>
      </w:r>
      <w:r w:rsidR="00391D81" w:rsidRPr="00B14D44">
        <w:rPr>
          <w:lang w:val="fr-CA"/>
        </w:rPr>
        <w:t>puis sont corrigés conformément aux mesures de sûreté et de contrôle du titulaire de permis</w:t>
      </w:r>
    </w:p>
    <w:p w14:paraId="3777F098" w14:textId="77777777" w:rsidR="00E96362" w:rsidRPr="00683937" w:rsidRDefault="00E96362" w:rsidP="00E96362">
      <w:pPr>
        <w:pStyle w:val="BulletListLastItem"/>
        <w:numPr>
          <w:ilvl w:val="0"/>
          <w:numId w:val="8"/>
        </w:numPr>
        <w:ind w:left="1080"/>
        <w:rPr>
          <w:lang w:val="fr-CA"/>
        </w:rPr>
      </w:pPr>
      <w:r w:rsidRPr="00683937">
        <w:rPr>
          <w:lang w:val="fr-CA"/>
        </w:rPr>
        <w:t>l’intrusion de corps étrangers est empêchée ou réduite au minimum</w:t>
      </w:r>
    </w:p>
    <w:p w14:paraId="0F55B9FC" w14:textId="77777777" w:rsidR="00E96362" w:rsidRPr="00683937" w:rsidRDefault="00E96362" w:rsidP="00E96362">
      <w:pPr>
        <w:pStyle w:val="BodyText"/>
        <w:rPr>
          <w:lang w:val="fr-CA"/>
        </w:rPr>
      </w:pPr>
      <w:r w:rsidRPr="00683937">
        <w:rPr>
          <w:lang w:val="fr-CA"/>
        </w:rPr>
        <w:t>Le titulaire de permis doit mettre en œuvre et tenir à jour des dispositions pour ce qui est de verrouiller, d’étiqueter ou de sécuriser autrement les points d’isolation pour les systèmes et les composants.</w:t>
      </w:r>
    </w:p>
    <w:p w14:paraId="66CCA5F4" w14:textId="77777777" w:rsidR="00E96362" w:rsidRPr="00683937" w:rsidRDefault="00E96362" w:rsidP="00E96362">
      <w:pPr>
        <w:pStyle w:val="BodyText"/>
        <w:rPr>
          <w:lang w:val="fr-CA"/>
        </w:rPr>
      </w:pPr>
      <w:r w:rsidRPr="00683937">
        <w:rPr>
          <w:lang w:val="fr-CA"/>
        </w:rPr>
        <w:t>Le titulaire de permis doit s’assurer que l’identification et l’étiquetage de l’équipement de sécurité, des systèmes importants pour la sûreté, des salles, des conduites et des instruments sont exacts, lisibles et bien entretenus et que les étiquettes ne dégradent pas l’article identifié.</w:t>
      </w:r>
    </w:p>
    <w:p w14:paraId="54075E53" w14:textId="0145E98D" w:rsidR="00E96362" w:rsidRPr="00683937" w:rsidRDefault="00E96362" w:rsidP="00E96362">
      <w:pPr>
        <w:pStyle w:val="BodyText"/>
        <w:rPr>
          <w:lang w:val="fr-CA"/>
        </w:rPr>
      </w:pPr>
      <w:r w:rsidRPr="00683937">
        <w:rPr>
          <w:lang w:val="fr-CA"/>
        </w:rPr>
        <w:t>Le titulaire de permis doit s’assurer de mettre en place des procédures pour la gestion des matières combustibles, y compris les emballages. Pour obtenir plus d’information, veuillez consulter le REGDOC</w:t>
      </w:r>
      <w:r w:rsidRPr="00683937">
        <w:rPr>
          <w:lang w:val="fr-CA"/>
        </w:rPr>
        <w:noBreakHyphen/>
        <w:t xml:space="preserve">2.10.2, </w:t>
      </w:r>
      <w:r w:rsidRPr="00683937">
        <w:rPr>
          <w:i/>
          <w:iCs/>
          <w:lang w:val="fr-CA"/>
        </w:rPr>
        <w:t>Protection-incendie</w:t>
      </w:r>
      <w:r w:rsidRPr="00683937">
        <w:rPr>
          <w:lang w:val="fr-CA"/>
        </w:rPr>
        <w:t> [1</w:t>
      </w:r>
      <w:r w:rsidR="00A0465B">
        <w:rPr>
          <w:lang w:val="fr-CA"/>
        </w:rPr>
        <w:t>9</w:t>
      </w:r>
      <w:r w:rsidRPr="00683937">
        <w:rPr>
          <w:lang w:val="fr-CA"/>
        </w:rPr>
        <w:t>].</w:t>
      </w:r>
    </w:p>
    <w:p w14:paraId="39BA8A71" w14:textId="77777777" w:rsidR="00E96362" w:rsidRPr="00683937" w:rsidRDefault="00E96362" w:rsidP="00E96362">
      <w:pPr>
        <w:pStyle w:val="HeadingRequirementsorGuidanceLabel"/>
        <w:rPr>
          <w:lang w:val="fr-CA"/>
        </w:rPr>
      </w:pPr>
      <w:bookmarkStart w:id="101" w:name="_Toc140069011"/>
      <w:r w:rsidRPr="00683937">
        <w:rPr>
          <w:lang w:val="fr-CA"/>
        </w:rPr>
        <w:t>Orientation</w:t>
      </w:r>
      <w:bookmarkEnd w:id="101"/>
    </w:p>
    <w:p w14:paraId="445DE74B" w14:textId="77777777" w:rsidR="00E96362" w:rsidRPr="00683937" w:rsidRDefault="00E96362" w:rsidP="00E96362">
      <w:pPr>
        <w:pStyle w:val="BodyText"/>
        <w:keepNext/>
        <w:spacing w:after="0"/>
        <w:rPr>
          <w:lang w:val="fr-CA"/>
        </w:rPr>
      </w:pPr>
      <w:r w:rsidRPr="00683937">
        <w:rPr>
          <w:lang w:val="fr-CA"/>
        </w:rPr>
        <w:t>Voici quelques exemples de SSC ayant des points d’isolation :</w:t>
      </w:r>
    </w:p>
    <w:p w14:paraId="617F04B5" w14:textId="77777777" w:rsidR="00E96362" w:rsidRPr="00683937" w:rsidRDefault="00E96362" w:rsidP="00E96362">
      <w:pPr>
        <w:pStyle w:val="BulletList"/>
        <w:keepNext/>
        <w:numPr>
          <w:ilvl w:val="0"/>
          <w:numId w:val="8"/>
        </w:numPr>
        <w:ind w:left="1080"/>
        <w:rPr>
          <w:lang w:val="fr-CA"/>
        </w:rPr>
      </w:pPr>
      <w:r>
        <w:rPr>
          <w:lang w:val="fr-CA"/>
        </w:rPr>
        <w:t>d</w:t>
      </w:r>
      <w:r w:rsidRPr="00683937">
        <w:rPr>
          <w:lang w:val="fr-CA"/>
        </w:rPr>
        <w:t>ispositifs d’isolation</w:t>
      </w:r>
    </w:p>
    <w:p w14:paraId="60E47323" w14:textId="77777777" w:rsidR="00E96362" w:rsidRPr="00683937" w:rsidRDefault="00E96362" w:rsidP="00E96362">
      <w:pPr>
        <w:pStyle w:val="BulletList"/>
        <w:numPr>
          <w:ilvl w:val="0"/>
          <w:numId w:val="8"/>
        </w:numPr>
        <w:ind w:left="1080"/>
        <w:rPr>
          <w:lang w:val="fr-CA"/>
        </w:rPr>
      </w:pPr>
      <w:r>
        <w:rPr>
          <w:lang w:val="fr-CA"/>
        </w:rPr>
        <w:t>p</w:t>
      </w:r>
      <w:r w:rsidRPr="00683937">
        <w:rPr>
          <w:lang w:val="fr-CA"/>
        </w:rPr>
        <w:t>ositions des vannes commandées par moteur ou manuellement</w:t>
      </w:r>
    </w:p>
    <w:p w14:paraId="3721E852" w14:textId="77777777" w:rsidR="00E96362" w:rsidRPr="00683937" w:rsidRDefault="00E96362" w:rsidP="00E96362">
      <w:pPr>
        <w:pStyle w:val="BulletList"/>
        <w:keepNext/>
        <w:numPr>
          <w:ilvl w:val="0"/>
          <w:numId w:val="8"/>
        </w:numPr>
        <w:ind w:left="1077" w:hanging="357"/>
        <w:rPr>
          <w:lang w:val="fr-CA"/>
        </w:rPr>
      </w:pPr>
      <w:r>
        <w:rPr>
          <w:lang w:val="fr-CA"/>
        </w:rPr>
        <w:t>t</w:t>
      </w:r>
      <w:r w:rsidRPr="00683937">
        <w:rPr>
          <w:lang w:val="fr-CA"/>
        </w:rPr>
        <w:t>rains de systèmes de protection</w:t>
      </w:r>
    </w:p>
    <w:p w14:paraId="2ADA6D21" w14:textId="77777777" w:rsidR="00E96362" w:rsidRPr="00683937" w:rsidRDefault="00E96362" w:rsidP="00E96362">
      <w:pPr>
        <w:pStyle w:val="BulletListLastItem"/>
        <w:numPr>
          <w:ilvl w:val="0"/>
          <w:numId w:val="8"/>
        </w:numPr>
        <w:ind w:left="1080"/>
        <w:rPr>
          <w:lang w:val="fr-CA"/>
        </w:rPr>
      </w:pPr>
      <w:r>
        <w:rPr>
          <w:lang w:val="fr-CA"/>
        </w:rPr>
        <w:t>a</w:t>
      </w:r>
      <w:r w:rsidRPr="00683937">
        <w:rPr>
          <w:lang w:val="fr-CA"/>
        </w:rPr>
        <w:t>limentations électriques pour des systèmes différents</w:t>
      </w:r>
    </w:p>
    <w:p w14:paraId="18994E94" w14:textId="4C6BD88B" w:rsidR="00E96362" w:rsidRPr="00683937" w:rsidRDefault="00E96362" w:rsidP="00E96362">
      <w:pPr>
        <w:pStyle w:val="BodyText"/>
        <w:keepNext/>
        <w:spacing w:after="0"/>
        <w:rPr>
          <w:lang w:val="fr-CA"/>
        </w:rPr>
      </w:pPr>
      <w:r w:rsidRPr="00683937">
        <w:rPr>
          <w:lang w:val="fr-CA"/>
        </w:rPr>
        <w:t xml:space="preserve">Le titulaire de permis devrait évaluer les effets de l’intrusion de corps étrangers et les mesures d’atténuation requises. Aux fins d’exclusion des </w:t>
      </w:r>
      <w:r w:rsidR="00C0133E">
        <w:rPr>
          <w:lang w:val="fr-CA"/>
        </w:rPr>
        <w:t>matières étrangères</w:t>
      </w:r>
      <w:r w:rsidRPr="00683937">
        <w:rPr>
          <w:lang w:val="fr-CA"/>
        </w:rPr>
        <w:t>, le titulaire de permis devrait s’assurer de ce qui suit :</w:t>
      </w:r>
    </w:p>
    <w:p w14:paraId="4C683119" w14:textId="4FAAC24A" w:rsidR="00E96362" w:rsidRPr="00683937" w:rsidRDefault="00E96362" w:rsidP="00E96362">
      <w:pPr>
        <w:pStyle w:val="BulletList"/>
        <w:keepNext/>
        <w:numPr>
          <w:ilvl w:val="0"/>
          <w:numId w:val="8"/>
        </w:numPr>
        <w:ind w:left="1077" w:hanging="357"/>
        <w:rPr>
          <w:lang w:val="fr-CA"/>
        </w:rPr>
      </w:pPr>
      <w:r>
        <w:rPr>
          <w:lang w:val="fr-CA"/>
        </w:rPr>
        <w:t>u</w:t>
      </w:r>
      <w:r w:rsidRPr="00683937">
        <w:rPr>
          <w:lang w:val="fr-CA"/>
        </w:rPr>
        <w:t>n processus est en place pour la gestion de l’exclusion des corps étrangers; pour obtenir plus d’information, veuillez consulter le REGDOC</w:t>
      </w:r>
      <w:r w:rsidRPr="00683937">
        <w:rPr>
          <w:lang w:val="fr-CA"/>
        </w:rPr>
        <w:noBreakHyphen/>
        <w:t xml:space="preserve">2.6.2, </w:t>
      </w:r>
      <w:r w:rsidRPr="00683937">
        <w:rPr>
          <w:i/>
          <w:iCs/>
          <w:lang w:val="fr-CA"/>
        </w:rPr>
        <w:t>Programmes d’entretien des centrales nucléaires</w:t>
      </w:r>
      <w:r w:rsidRPr="00683937">
        <w:rPr>
          <w:lang w:val="fr-CA"/>
        </w:rPr>
        <w:t> [</w:t>
      </w:r>
      <w:r w:rsidR="00A0465B">
        <w:rPr>
          <w:lang w:val="fr-CA"/>
        </w:rPr>
        <w:t>20</w:t>
      </w:r>
      <w:r w:rsidRPr="00683937">
        <w:rPr>
          <w:lang w:val="fr-CA"/>
        </w:rPr>
        <w:t>]</w:t>
      </w:r>
    </w:p>
    <w:p w14:paraId="543061CD" w14:textId="77777777" w:rsidR="00E96362" w:rsidRPr="00683937" w:rsidRDefault="00E96362" w:rsidP="00E96362">
      <w:pPr>
        <w:pStyle w:val="BulletListLastItem"/>
        <w:numPr>
          <w:ilvl w:val="0"/>
          <w:numId w:val="8"/>
        </w:numPr>
        <w:ind w:left="1080"/>
        <w:rPr>
          <w:lang w:val="fr-CA"/>
        </w:rPr>
      </w:pPr>
      <w:r>
        <w:rPr>
          <w:lang w:val="fr-CA"/>
        </w:rPr>
        <w:t>d</w:t>
      </w:r>
      <w:r w:rsidRPr="00683937">
        <w:rPr>
          <w:lang w:val="fr-CA"/>
        </w:rPr>
        <w:t xml:space="preserve">es mesures de prévention et des mesures de contrôle de l’information sont en place; pour obtenir plus d’information, veuillez consulter la norme CSA N286, </w:t>
      </w:r>
      <w:r w:rsidRPr="00683937">
        <w:rPr>
          <w:i/>
          <w:iCs/>
          <w:lang w:val="fr-CA"/>
        </w:rPr>
        <w:t>Exigences relatives au système de gestion des installations nucléaires</w:t>
      </w:r>
      <w:r w:rsidRPr="00683937">
        <w:rPr>
          <w:lang w:val="fr-CA"/>
        </w:rPr>
        <w:t> [4]</w:t>
      </w:r>
    </w:p>
    <w:p w14:paraId="4A5FD7A3" w14:textId="3B4B1C3D" w:rsidR="00C62521" w:rsidRDefault="009D7327" w:rsidP="00C62521">
      <w:pPr>
        <w:pStyle w:val="Heading4"/>
      </w:pPr>
      <w:bookmarkStart w:id="102" w:name="_Toc152766301"/>
      <w:bookmarkStart w:id="103" w:name="_Toc126324273"/>
      <w:bookmarkStart w:id="104" w:name="_Toc140069012"/>
      <w:bookmarkStart w:id="105" w:name="_Toc140069136"/>
      <w:bookmarkStart w:id="106" w:name="_Toc140069179"/>
      <w:r>
        <w:t>Contrôle chimique</w:t>
      </w:r>
      <w:bookmarkEnd w:id="102"/>
    </w:p>
    <w:p w14:paraId="59E05803" w14:textId="0A70C6B2" w:rsidR="00C62521" w:rsidRDefault="009D7327" w:rsidP="00C62521">
      <w:pPr>
        <w:pStyle w:val="HeadingRequirementsorGuidanceLabel"/>
      </w:pPr>
      <w:r>
        <w:t>Exigences</w:t>
      </w:r>
    </w:p>
    <w:p w14:paraId="0E9D5617" w14:textId="77E2AC39" w:rsidR="00C62521" w:rsidRPr="009D7327" w:rsidRDefault="009D7327" w:rsidP="00C62521">
      <w:pPr>
        <w:pStyle w:val="BodyText"/>
        <w:rPr>
          <w:lang w:val="fr-CA"/>
        </w:rPr>
      </w:pPr>
      <w:r w:rsidRPr="004762ED">
        <w:rPr>
          <w:lang w:val="fr-CA"/>
        </w:rPr>
        <w:t>Le titulaire de permis doit établir et mettre en œuvre un programme de contrôle chimique afin de garantir l</w:t>
      </w:r>
      <w:r>
        <w:rPr>
          <w:lang w:val="fr-CA"/>
        </w:rPr>
        <w:t>’</w:t>
      </w:r>
      <w:r w:rsidRPr="004762ED">
        <w:rPr>
          <w:lang w:val="fr-CA"/>
        </w:rPr>
        <w:t>intégrité à long terme des SSC et de réduire au minimum les risques liés au rayonnement</w:t>
      </w:r>
      <w:r w:rsidR="00C62521" w:rsidRPr="009D7327">
        <w:rPr>
          <w:lang w:val="fr-CA"/>
        </w:rPr>
        <w:t>.</w:t>
      </w:r>
    </w:p>
    <w:p w14:paraId="44FC7284" w14:textId="1865D26B" w:rsidR="00C62521" w:rsidRPr="00C97FE8" w:rsidRDefault="009D7327" w:rsidP="00C62521">
      <w:pPr>
        <w:pStyle w:val="HeadingRequirementsorGuidanceLabel"/>
        <w:rPr>
          <w:lang w:val="fr-CA"/>
        </w:rPr>
      </w:pPr>
      <w:r w:rsidRPr="00117C29">
        <w:rPr>
          <w:lang w:val="fr-CA"/>
        </w:rPr>
        <w:t>Orientation</w:t>
      </w:r>
    </w:p>
    <w:p w14:paraId="23C21AB4" w14:textId="611BCA36" w:rsidR="00C62521" w:rsidRPr="009D7327" w:rsidRDefault="009D7327" w:rsidP="00C62521">
      <w:pPr>
        <w:pStyle w:val="BodyText"/>
        <w:rPr>
          <w:lang w:val="fr-CA"/>
        </w:rPr>
      </w:pPr>
      <w:r w:rsidRPr="001D333C">
        <w:rPr>
          <w:lang w:val="fr-CA"/>
        </w:rPr>
        <w:t>Pour plus d</w:t>
      </w:r>
      <w:r>
        <w:rPr>
          <w:lang w:val="fr-CA"/>
        </w:rPr>
        <w:t>’</w:t>
      </w:r>
      <w:r w:rsidRPr="001D333C">
        <w:rPr>
          <w:lang w:val="fr-CA"/>
        </w:rPr>
        <w:t>information sur le contrôle et la surveillance chimiques, veuillez consulter le REGDOC</w:t>
      </w:r>
      <w:r w:rsidRPr="001D333C">
        <w:rPr>
          <w:lang w:val="fr-CA"/>
        </w:rPr>
        <w:noBreakHyphen/>
        <w:t xml:space="preserve">2.6.4, </w:t>
      </w:r>
      <w:r w:rsidRPr="001D333C">
        <w:rPr>
          <w:i/>
          <w:iCs/>
          <w:lang w:val="fr-CA"/>
        </w:rPr>
        <w:t>Contrôle chimique</w:t>
      </w:r>
      <w:r w:rsidRPr="001D333C">
        <w:rPr>
          <w:lang w:val="fr-CA"/>
        </w:rPr>
        <w:t> [21]</w:t>
      </w:r>
      <w:r w:rsidR="00C97FE8">
        <w:rPr>
          <w:lang w:val="fr-CA"/>
        </w:rPr>
        <w:t>.</w:t>
      </w:r>
    </w:p>
    <w:p w14:paraId="5F24C784" w14:textId="40EDF56E" w:rsidR="00E96362" w:rsidRPr="00683937" w:rsidRDefault="00E96362" w:rsidP="00E96362">
      <w:pPr>
        <w:pStyle w:val="Heading3"/>
        <w:rPr>
          <w:lang w:val="fr-CA"/>
        </w:rPr>
      </w:pPr>
      <w:bookmarkStart w:id="107" w:name="_Toc152766302"/>
      <w:r w:rsidRPr="00683937">
        <w:rPr>
          <w:lang w:val="fr-CA"/>
        </w:rPr>
        <w:t>Performance humaine en matière d’exploitation</w:t>
      </w:r>
      <w:bookmarkEnd w:id="103"/>
      <w:bookmarkEnd w:id="104"/>
      <w:bookmarkEnd w:id="105"/>
      <w:bookmarkEnd w:id="106"/>
      <w:bookmarkEnd w:id="107"/>
    </w:p>
    <w:p w14:paraId="21070F30" w14:textId="77777777" w:rsidR="00E96362" w:rsidRPr="00683937" w:rsidRDefault="00E96362" w:rsidP="00E96362">
      <w:pPr>
        <w:pStyle w:val="Heading4"/>
        <w:rPr>
          <w:lang w:val="fr-CA"/>
        </w:rPr>
      </w:pPr>
      <w:bookmarkStart w:id="108" w:name="_Toc126324274"/>
      <w:bookmarkStart w:id="109" w:name="_Toc140069013"/>
      <w:bookmarkStart w:id="110" w:name="_Toc152766303"/>
      <w:r w:rsidRPr="00683937">
        <w:rPr>
          <w:lang w:val="fr-CA"/>
        </w:rPr>
        <w:t>Communications</w:t>
      </w:r>
      <w:bookmarkEnd w:id="108"/>
      <w:bookmarkEnd w:id="109"/>
      <w:bookmarkEnd w:id="110"/>
    </w:p>
    <w:p w14:paraId="26DE5E0F" w14:textId="77777777" w:rsidR="00E96362" w:rsidRPr="00683937" w:rsidRDefault="00E96362" w:rsidP="00E96362">
      <w:pPr>
        <w:pStyle w:val="HeadingRequirementsorGuidanceLabel"/>
        <w:rPr>
          <w:lang w:val="fr-CA"/>
        </w:rPr>
      </w:pPr>
      <w:bookmarkStart w:id="111" w:name="_Toc140069014"/>
      <w:r w:rsidRPr="00683937">
        <w:rPr>
          <w:lang w:val="fr-CA"/>
        </w:rPr>
        <w:t>Exigences</w:t>
      </w:r>
      <w:bookmarkEnd w:id="111"/>
    </w:p>
    <w:p w14:paraId="3BCB3313" w14:textId="77777777" w:rsidR="00E96362" w:rsidRPr="00683937" w:rsidRDefault="00E96362" w:rsidP="00E96362">
      <w:pPr>
        <w:pStyle w:val="BodyText"/>
        <w:rPr>
          <w:lang w:val="fr-CA"/>
        </w:rPr>
      </w:pPr>
      <w:r w:rsidRPr="00683937">
        <w:rPr>
          <w:lang w:val="fr-CA"/>
        </w:rPr>
        <w:t>Le titulaire de permis doit s’assurer que de l’équipement de communication fiable est disponible à l’appui des activités dans la salle de commande et dans l’ensemble de l’installation pour tous les modes d</w:t>
      </w:r>
      <w:r>
        <w:rPr>
          <w:lang w:val="fr-CA"/>
        </w:rPr>
        <w:t>e fonctionnement</w:t>
      </w:r>
      <w:r w:rsidRPr="00683937">
        <w:rPr>
          <w:lang w:val="fr-CA"/>
        </w:rPr>
        <w:t>.</w:t>
      </w:r>
    </w:p>
    <w:p w14:paraId="7D7340A2" w14:textId="77777777" w:rsidR="00E96362" w:rsidRPr="00683937" w:rsidRDefault="00E96362" w:rsidP="00E96362">
      <w:pPr>
        <w:pStyle w:val="HeadingRequirementsorGuidanceLabel"/>
        <w:rPr>
          <w:lang w:val="fr-CA"/>
        </w:rPr>
      </w:pPr>
      <w:bookmarkStart w:id="112" w:name="_Toc140069015"/>
      <w:r w:rsidRPr="00683937">
        <w:rPr>
          <w:lang w:val="fr-CA"/>
        </w:rPr>
        <w:t>Orientation</w:t>
      </w:r>
      <w:bookmarkEnd w:id="112"/>
    </w:p>
    <w:p w14:paraId="498373CC" w14:textId="77777777" w:rsidR="00E96362" w:rsidRPr="00683937" w:rsidRDefault="00E96362" w:rsidP="00E96362">
      <w:pPr>
        <w:pStyle w:val="BodyText"/>
        <w:rPr>
          <w:lang w:val="fr-CA"/>
        </w:rPr>
      </w:pPr>
      <w:r w:rsidRPr="00683937">
        <w:rPr>
          <w:lang w:val="fr-CA"/>
        </w:rPr>
        <w:t>Le titulaire de permis devrait établir un processus pour assurer des communications efficaces, dont des communications orales trilatérales, pour les activités opérationnelles.</w:t>
      </w:r>
    </w:p>
    <w:p w14:paraId="52FE3725" w14:textId="77777777" w:rsidR="00E96362" w:rsidRPr="00683937" w:rsidRDefault="00E96362" w:rsidP="00E96362">
      <w:pPr>
        <w:pStyle w:val="Heading4"/>
        <w:rPr>
          <w:lang w:val="fr-CA"/>
        </w:rPr>
      </w:pPr>
      <w:bookmarkStart w:id="113" w:name="_Toc126324275"/>
      <w:bookmarkStart w:id="114" w:name="_Toc140069016"/>
      <w:bookmarkStart w:id="115" w:name="_Toc152766304"/>
      <w:r w:rsidRPr="00683937">
        <w:rPr>
          <w:lang w:val="fr-CA"/>
        </w:rPr>
        <w:t>Registres de</w:t>
      </w:r>
      <w:r>
        <w:rPr>
          <w:lang w:val="fr-CA"/>
        </w:rPr>
        <w:t xml:space="preserve"> la</w:t>
      </w:r>
      <w:r w:rsidRPr="00683937">
        <w:rPr>
          <w:lang w:val="fr-CA"/>
        </w:rPr>
        <w:t xml:space="preserve"> salle de commande</w:t>
      </w:r>
      <w:bookmarkEnd w:id="113"/>
      <w:bookmarkEnd w:id="114"/>
      <w:bookmarkEnd w:id="115"/>
    </w:p>
    <w:p w14:paraId="7D965EB4" w14:textId="77777777" w:rsidR="00E96362" w:rsidRPr="00683937" w:rsidRDefault="00E96362" w:rsidP="00E96362">
      <w:pPr>
        <w:pStyle w:val="HeadingRequirementsorGuidanceLabel"/>
        <w:rPr>
          <w:lang w:val="fr-CA"/>
        </w:rPr>
      </w:pPr>
      <w:bookmarkStart w:id="116" w:name="_Toc140069017"/>
      <w:r w:rsidRPr="00683937">
        <w:rPr>
          <w:lang w:val="fr-CA"/>
        </w:rPr>
        <w:t>Exigences</w:t>
      </w:r>
      <w:bookmarkEnd w:id="116"/>
    </w:p>
    <w:p w14:paraId="0CBC1E8C" w14:textId="77777777" w:rsidR="00E96362" w:rsidRPr="00683937" w:rsidRDefault="00E96362" w:rsidP="00E96362">
      <w:pPr>
        <w:pStyle w:val="BodyText"/>
        <w:rPr>
          <w:lang w:val="fr-CA"/>
        </w:rPr>
      </w:pPr>
      <w:r w:rsidRPr="00683937">
        <w:rPr>
          <w:lang w:val="fr-CA"/>
        </w:rPr>
        <w:t>Le titulaire de permis doit établir un processus de tenue de registres d</w:t>
      </w:r>
      <w:r>
        <w:rPr>
          <w:lang w:val="fr-CA"/>
        </w:rPr>
        <w:t>ans la</w:t>
      </w:r>
      <w:r w:rsidRPr="00683937">
        <w:rPr>
          <w:lang w:val="fr-CA"/>
        </w:rPr>
        <w:t xml:space="preserve"> salle de commande (aussi appelés registres d’exploitation ou dossiers de l’opérateur). Le titulaire de permis doit s’assurer que ces registres contiennent un compte rendu officiel de la chronologie des événements, des activités de l’installation et des changements dans l’état des systèmes ou des composants.</w:t>
      </w:r>
    </w:p>
    <w:p w14:paraId="27EC9DC7" w14:textId="77777777" w:rsidR="00E96362" w:rsidRPr="00683937" w:rsidRDefault="00E96362" w:rsidP="00E96362">
      <w:pPr>
        <w:pStyle w:val="HeadingRequirementsorGuidanceLabel"/>
        <w:rPr>
          <w:lang w:val="fr-CA"/>
        </w:rPr>
      </w:pPr>
      <w:bookmarkStart w:id="117" w:name="_Toc140069018"/>
      <w:r w:rsidRPr="00683937">
        <w:rPr>
          <w:lang w:val="fr-CA"/>
        </w:rPr>
        <w:t>Orientation</w:t>
      </w:r>
      <w:bookmarkEnd w:id="117"/>
    </w:p>
    <w:p w14:paraId="3B6DA89F" w14:textId="77777777" w:rsidR="00E96362" w:rsidRPr="00683937" w:rsidRDefault="00E96362" w:rsidP="00E96362">
      <w:pPr>
        <w:pStyle w:val="BodyText"/>
        <w:rPr>
          <w:lang w:val="fr-CA"/>
        </w:rPr>
      </w:pPr>
      <w:r w:rsidRPr="00683937">
        <w:rPr>
          <w:lang w:val="fr-CA"/>
        </w:rPr>
        <w:t>Le titulaire de permis devrait établir des règles claires et compréhensibles au sujet de la qualité et du contenu des dossiers et registres des opérateurs. Il devrait s’assurer que ces règles sont communiquées clairement.</w:t>
      </w:r>
    </w:p>
    <w:p w14:paraId="78EAA09E" w14:textId="77777777" w:rsidR="00E96362" w:rsidRPr="00683937" w:rsidRDefault="00E96362" w:rsidP="00E96362">
      <w:pPr>
        <w:pStyle w:val="BodyText"/>
        <w:keepNext/>
        <w:spacing w:after="0"/>
        <w:rPr>
          <w:lang w:val="fr-CA"/>
        </w:rPr>
      </w:pPr>
      <w:r w:rsidRPr="00683937">
        <w:rPr>
          <w:lang w:val="fr-CA"/>
        </w:rPr>
        <w:t>Voici quelques exemples de contenu de dossiers et de registres des opérateurs :</w:t>
      </w:r>
    </w:p>
    <w:p w14:paraId="5C20CAD4" w14:textId="77777777" w:rsidR="00E96362" w:rsidRPr="00683937" w:rsidRDefault="00E96362" w:rsidP="00E96362">
      <w:pPr>
        <w:pStyle w:val="BulletList"/>
        <w:keepNext/>
        <w:numPr>
          <w:ilvl w:val="0"/>
          <w:numId w:val="8"/>
        </w:numPr>
        <w:ind w:left="1080"/>
        <w:rPr>
          <w:lang w:val="fr-CA"/>
        </w:rPr>
      </w:pPr>
      <w:r>
        <w:rPr>
          <w:lang w:val="fr-CA"/>
        </w:rPr>
        <w:t>l</w:t>
      </w:r>
      <w:r w:rsidRPr="00683937">
        <w:rPr>
          <w:lang w:val="fr-CA"/>
        </w:rPr>
        <w:t>es processus et l’état général de l’installation au moment du changement de quart de travail</w:t>
      </w:r>
    </w:p>
    <w:p w14:paraId="7112038D"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changements de mode du réacteur et de systèmes ou d’équipement majeurs de l’installation</w:t>
      </w:r>
    </w:p>
    <w:p w14:paraId="5B1F1E93"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configurations anormales de l’installation</w:t>
      </w:r>
    </w:p>
    <w:p w14:paraId="53E4CC09"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’équipement et les systèmes qui sont hors service</w:t>
      </w:r>
    </w:p>
    <w:p w14:paraId="0B745EEC" w14:textId="77777777" w:rsidR="00E96362" w:rsidRPr="00683937" w:rsidRDefault="00E96362" w:rsidP="00E96362">
      <w:pPr>
        <w:pStyle w:val="BulletList"/>
        <w:keepNext/>
        <w:numPr>
          <w:ilvl w:val="0"/>
          <w:numId w:val="8"/>
        </w:numPr>
        <w:ind w:left="1077" w:hanging="357"/>
        <w:rPr>
          <w:lang w:val="fr-CA"/>
        </w:rPr>
      </w:pPr>
      <w:r>
        <w:rPr>
          <w:lang w:val="fr-CA"/>
        </w:rPr>
        <w:t>u</w:t>
      </w:r>
      <w:r w:rsidRPr="00683937">
        <w:rPr>
          <w:lang w:val="fr-CA"/>
        </w:rPr>
        <w:t>ne mention qu’une surveillance et des essais post-entretien ont été effectués</w:t>
      </w:r>
    </w:p>
    <w:p w14:paraId="0A6A3B8F"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es écarts relevés et les mesures prises pour régler la situation</w:t>
      </w:r>
    </w:p>
    <w:p w14:paraId="287B9CCA" w14:textId="77777777" w:rsidR="00E96362" w:rsidRPr="00683937" w:rsidRDefault="00E96362" w:rsidP="00E96362">
      <w:pPr>
        <w:pStyle w:val="Heading4"/>
        <w:rPr>
          <w:lang w:val="fr-CA"/>
        </w:rPr>
      </w:pPr>
      <w:bookmarkStart w:id="118" w:name="_Toc126324276"/>
      <w:bookmarkStart w:id="119" w:name="_Toc140069019"/>
      <w:bookmarkStart w:id="120" w:name="_Toc152766305"/>
      <w:r w:rsidRPr="00683937">
        <w:rPr>
          <w:lang w:val="fr-CA"/>
        </w:rPr>
        <w:t>Changement de quart de travail et comptes rendus</w:t>
      </w:r>
      <w:bookmarkEnd w:id="118"/>
      <w:bookmarkEnd w:id="119"/>
      <w:bookmarkEnd w:id="120"/>
    </w:p>
    <w:p w14:paraId="293AC1EF" w14:textId="77777777" w:rsidR="00E96362" w:rsidRPr="00683937" w:rsidRDefault="00E96362" w:rsidP="00E96362">
      <w:pPr>
        <w:pStyle w:val="HeadingRequirementsorGuidanceLabel"/>
        <w:rPr>
          <w:lang w:val="fr-CA"/>
        </w:rPr>
      </w:pPr>
      <w:bookmarkStart w:id="121" w:name="_Toc140069020"/>
      <w:r w:rsidRPr="00683937">
        <w:rPr>
          <w:lang w:val="fr-CA"/>
        </w:rPr>
        <w:t>Exigences</w:t>
      </w:r>
      <w:bookmarkEnd w:id="121"/>
    </w:p>
    <w:p w14:paraId="4E2EAB6A" w14:textId="3FC9FA31" w:rsidR="00E96362" w:rsidRPr="00683937" w:rsidRDefault="00E96362" w:rsidP="00E96362">
      <w:pPr>
        <w:pStyle w:val="BodyText"/>
        <w:keepNext/>
        <w:spacing w:after="0"/>
        <w:rPr>
          <w:lang w:val="fr-CA"/>
        </w:rPr>
      </w:pPr>
      <w:r w:rsidRPr="00683937">
        <w:rPr>
          <w:lang w:val="fr-CA"/>
        </w:rPr>
        <w:t xml:space="preserve">Le titulaire de permis doit établir des processus permettant d’assurer un transfert sûr et contrôlé des responsabilités entre les quarts de travail des opérateurs. </w:t>
      </w:r>
      <w:r w:rsidR="00391D81" w:rsidRPr="00B14D44">
        <w:rPr>
          <w:lang w:val="fr-CA"/>
        </w:rPr>
        <w:t xml:space="preserve">Minimalement, ces </w:t>
      </w:r>
      <w:r w:rsidRPr="00683937">
        <w:rPr>
          <w:lang w:val="fr-CA"/>
        </w:rPr>
        <w:t>processus doivent comprendre ce qui suit :</w:t>
      </w:r>
    </w:p>
    <w:p w14:paraId="6F72E72F" w14:textId="77777777" w:rsidR="00E96362" w:rsidRPr="00683937" w:rsidRDefault="00E96362" w:rsidP="00E96362">
      <w:pPr>
        <w:pStyle w:val="BulletList"/>
        <w:keepNext/>
        <w:numPr>
          <w:ilvl w:val="0"/>
          <w:numId w:val="8"/>
        </w:numPr>
        <w:ind w:left="1080"/>
        <w:rPr>
          <w:lang w:val="fr-CA"/>
        </w:rPr>
      </w:pPr>
      <w:r>
        <w:rPr>
          <w:lang w:val="fr-CA"/>
        </w:rPr>
        <w:t>v</w:t>
      </w:r>
      <w:r w:rsidRPr="00683937">
        <w:rPr>
          <w:lang w:val="fr-CA"/>
        </w:rPr>
        <w:t>érifications visuelles des panneaux</w:t>
      </w:r>
    </w:p>
    <w:p w14:paraId="261BE293" w14:textId="77777777" w:rsidR="00E96362" w:rsidRPr="00683937" w:rsidRDefault="00E96362" w:rsidP="00E96362">
      <w:pPr>
        <w:pStyle w:val="BulletList"/>
        <w:numPr>
          <w:ilvl w:val="0"/>
          <w:numId w:val="8"/>
        </w:numPr>
        <w:ind w:left="1080"/>
        <w:rPr>
          <w:lang w:val="fr-CA"/>
        </w:rPr>
      </w:pPr>
      <w:r>
        <w:rPr>
          <w:lang w:val="fr-CA"/>
        </w:rPr>
        <w:t>e</w:t>
      </w:r>
      <w:r w:rsidRPr="00683937">
        <w:rPr>
          <w:lang w:val="fr-CA"/>
        </w:rPr>
        <w:t xml:space="preserve">xamen des registres de </w:t>
      </w:r>
      <w:r>
        <w:rPr>
          <w:lang w:val="fr-CA"/>
        </w:rPr>
        <w:t xml:space="preserve">la </w:t>
      </w:r>
      <w:r w:rsidRPr="00683937">
        <w:rPr>
          <w:lang w:val="fr-CA"/>
        </w:rPr>
        <w:t>salle de commande (registres d’exploitation; dossiers de l’opérateur)</w:t>
      </w:r>
    </w:p>
    <w:p w14:paraId="16CFD57B"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istes de contrôle</w:t>
      </w:r>
    </w:p>
    <w:p w14:paraId="3E3D8C60" w14:textId="77777777" w:rsidR="00E96362" w:rsidRPr="00683937" w:rsidRDefault="00E96362" w:rsidP="00E96362">
      <w:pPr>
        <w:pStyle w:val="BulletList"/>
        <w:keepNext/>
        <w:numPr>
          <w:ilvl w:val="0"/>
          <w:numId w:val="8"/>
        </w:numPr>
        <w:ind w:left="1077" w:hanging="357"/>
        <w:rPr>
          <w:lang w:val="fr-CA"/>
        </w:rPr>
      </w:pPr>
      <w:r>
        <w:rPr>
          <w:lang w:val="fr-CA"/>
        </w:rPr>
        <w:t>c</w:t>
      </w:r>
      <w:r w:rsidRPr="00683937">
        <w:rPr>
          <w:lang w:val="fr-CA"/>
        </w:rPr>
        <w:t xml:space="preserve">ompte rendu des défis auxquels a dû faire face l’opérateur ainsi que de tout écart par rapport aux conditions d’exploitation normale </w:t>
      </w:r>
    </w:p>
    <w:p w14:paraId="5A3F1DA8" w14:textId="46C806C5" w:rsidR="00E96362" w:rsidRPr="00683937" w:rsidRDefault="00E96362" w:rsidP="00E96362">
      <w:pPr>
        <w:pStyle w:val="BulletListLastItem"/>
        <w:numPr>
          <w:ilvl w:val="0"/>
          <w:numId w:val="8"/>
        </w:numPr>
        <w:ind w:left="1080"/>
        <w:rPr>
          <w:lang w:val="fr-CA"/>
        </w:rPr>
      </w:pPr>
      <w:r>
        <w:rPr>
          <w:lang w:val="fr-CA"/>
        </w:rPr>
        <w:t>v</w:t>
      </w:r>
      <w:r w:rsidRPr="00683937">
        <w:rPr>
          <w:lang w:val="fr-CA"/>
        </w:rPr>
        <w:t xml:space="preserve">érification que l’effectif minimal </w:t>
      </w:r>
      <w:r>
        <w:rPr>
          <w:lang w:val="fr-CA"/>
        </w:rPr>
        <w:t>est</w:t>
      </w:r>
      <w:r w:rsidRPr="00683937">
        <w:rPr>
          <w:lang w:val="fr-CA"/>
        </w:rPr>
        <w:t xml:space="preserve"> atteint (voir le REGDOC</w:t>
      </w:r>
      <w:r w:rsidRPr="00683937">
        <w:rPr>
          <w:lang w:val="fr-CA"/>
        </w:rPr>
        <w:noBreakHyphen/>
        <w:t xml:space="preserve">2.2.5, </w:t>
      </w:r>
      <w:r w:rsidRPr="00683937">
        <w:rPr>
          <w:i/>
          <w:iCs/>
          <w:lang w:val="fr-CA"/>
        </w:rPr>
        <w:t>Effectif minimal</w:t>
      </w:r>
      <w:r w:rsidRPr="00683937">
        <w:rPr>
          <w:lang w:val="fr-CA"/>
        </w:rPr>
        <w:t> [</w:t>
      </w:r>
      <w:r w:rsidR="00A0465B">
        <w:rPr>
          <w:lang w:val="fr-CA"/>
        </w:rPr>
        <w:t>2</w:t>
      </w:r>
      <w:r w:rsidR="003F5908">
        <w:rPr>
          <w:lang w:val="fr-CA"/>
        </w:rPr>
        <w:t>2</w:t>
      </w:r>
      <w:r w:rsidRPr="00683937">
        <w:rPr>
          <w:lang w:val="fr-CA"/>
        </w:rPr>
        <w:t>])</w:t>
      </w:r>
    </w:p>
    <w:p w14:paraId="4261AD9E" w14:textId="77777777" w:rsidR="00E96362" w:rsidRPr="00683937" w:rsidRDefault="00E96362" w:rsidP="00E96362">
      <w:pPr>
        <w:pStyle w:val="HeadingRequirementsorGuidanceLabel"/>
        <w:rPr>
          <w:lang w:val="fr-CA"/>
        </w:rPr>
      </w:pPr>
      <w:bookmarkStart w:id="122" w:name="_Toc140069021"/>
      <w:r w:rsidRPr="00683937">
        <w:rPr>
          <w:lang w:val="fr-CA"/>
        </w:rPr>
        <w:t>Orientation</w:t>
      </w:r>
      <w:bookmarkEnd w:id="122"/>
    </w:p>
    <w:p w14:paraId="384E5C58" w14:textId="77777777" w:rsidR="00E96362" w:rsidRPr="00683937" w:rsidRDefault="00E96362" w:rsidP="00E96362">
      <w:pPr>
        <w:pStyle w:val="BodyText"/>
        <w:keepNext/>
        <w:spacing w:after="0"/>
        <w:rPr>
          <w:lang w:val="fr-CA"/>
        </w:rPr>
      </w:pPr>
      <w:r w:rsidRPr="00683937">
        <w:rPr>
          <w:lang w:val="fr-CA"/>
        </w:rPr>
        <w:t>Le titulaire de permis devrait s’assurer que le processus de changement de quart établit ce qui suit :</w:t>
      </w:r>
    </w:p>
    <w:p w14:paraId="31395C8F" w14:textId="77777777" w:rsidR="00E96362" w:rsidRPr="00683937" w:rsidRDefault="00E96362" w:rsidP="00E96362">
      <w:pPr>
        <w:pStyle w:val="BulletList"/>
        <w:keepNext/>
        <w:numPr>
          <w:ilvl w:val="0"/>
          <w:numId w:val="8"/>
        </w:numPr>
        <w:ind w:left="1080"/>
        <w:rPr>
          <w:lang w:val="fr-CA"/>
        </w:rPr>
      </w:pPr>
      <w:r>
        <w:rPr>
          <w:lang w:val="fr-CA"/>
        </w:rPr>
        <w:t>l</w:t>
      </w:r>
      <w:r w:rsidRPr="00683937">
        <w:rPr>
          <w:lang w:val="fr-CA"/>
        </w:rPr>
        <w:t>es personnes concernées</w:t>
      </w:r>
    </w:p>
    <w:p w14:paraId="00A0A375"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responsabilités de celles-ci</w:t>
      </w:r>
    </w:p>
    <w:p w14:paraId="2DAB7A40"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 xml:space="preserve">’emplacement et la </w:t>
      </w:r>
      <w:r>
        <w:rPr>
          <w:lang w:val="fr-CA"/>
        </w:rPr>
        <w:t>réalisation</w:t>
      </w:r>
      <w:r w:rsidRPr="00683937">
        <w:rPr>
          <w:lang w:val="fr-CA"/>
        </w:rPr>
        <w:t xml:space="preserve"> du changement de quar</w:t>
      </w:r>
      <w:r>
        <w:rPr>
          <w:lang w:val="fr-CA"/>
        </w:rPr>
        <w:t>t</w:t>
      </w:r>
      <w:r w:rsidRPr="00683937">
        <w:rPr>
          <w:lang w:val="fr-CA"/>
        </w:rPr>
        <w:t xml:space="preserve"> </w:t>
      </w:r>
    </w:p>
    <w:p w14:paraId="267DAC50"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a méthode d’indiquer l’état de l’installation, y compris des dispositions pour les circonstances spéciales telles que l’état anormal de l’installation ou l’indisponibilité de membres du personnel</w:t>
      </w:r>
    </w:p>
    <w:p w14:paraId="3E484DD8" w14:textId="77777777" w:rsidR="00E96362" w:rsidRPr="00683937" w:rsidRDefault="00E96362" w:rsidP="00E96362">
      <w:pPr>
        <w:pStyle w:val="BodyText"/>
        <w:rPr>
          <w:lang w:val="fr-CA"/>
        </w:rPr>
      </w:pPr>
      <w:r w:rsidRPr="00683937">
        <w:rPr>
          <w:lang w:val="fr-CA"/>
        </w:rPr>
        <w:t xml:space="preserve">Le titulaire de permis devrait s’assurer que les comptes rendus </w:t>
      </w:r>
      <w:r>
        <w:rPr>
          <w:lang w:val="fr-CA"/>
        </w:rPr>
        <w:t xml:space="preserve">lors du changement </w:t>
      </w:r>
      <w:r w:rsidRPr="00683937">
        <w:rPr>
          <w:lang w:val="fr-CA"/>
        </w:rPr>
        <w:t>de quart sont livrés de sorte que les attentes et les objectifs du chef de quart soient communiqués efficacement à tout l’effectif sous sa supervision et bien compris par celui-ci. Le niveau et le nombre de comptes rendus peuvent varier selon la composition des équipes de quart.</w:t>
      </w:r>
    </w:p>
    <w:p w14:paraId="76DF3251" w14:textId="77777777" w:rsidR="00E96362" w:rsidRPr="00683937" w:rsidRDefault="00E96362" w:rsidP="00E96362">
      <w:pPr>
        <w:pStyle w:val="BodyText"/>
        <w:rPr>
          <w:lang w:val="fr-CA"/>
        </w:rPr>
      </w:pPr>
      <w:r w:rsidRPr="00683937">
        <w:rPr>
          <w:lang w:val="fr-CA"/>
        </w:rPr>
        <w:t>Le titulaire de permis devrait s’assurer que les outils de performance humaine sont utilisés pour les changements de quart et les comptes rendus; par exemple, les communications trilatérales, l’utilisation d</w:t>
      </w:r>
      <w:r>
        <w:rPr>
          <w:lang w:val="fr-CA"/>
        </w:rPr>
        <w:t>e l’alphabet phonétique</w:t>
      </w:r>
      <w:r w:rsidRPr="00683937">
        <w:rPr>
          <w:lang w:val="fr-CA"/>
        </w:rPr>
        <w:t xml:space="preserve"> et la verbalisation. Voir également la section 3.2.5, </w:t>
      </w:r>
      <w:r w:rsidRPr="00683937">
        <w:rPr>
          <w:i/>
          <w:iCs/>
          <w:lang w:val="fr-CA"/>
        </w:rPr>
        <w:t>Outils de performance humaine pour l’exploitation</w:t>
      </w:r>
      <w:r w:rsidRPr="00683937">
        <w:rPr>
          <w:lang w:val="fr-CA"/>
        </w:rPr>
        <w:t>.</w:t>
      </w:r>
    </w:p>
    <w:p w14:paraId="6B9A43A9" w14:textId="77777777" w:rsidR="00E96362" w:rsidRPr="00683937" w:rsidRDefault="00E96362" w:rsidP="00E96362">
      <w:pPr>
        <w:pStyle w:val="Heading4"/>
        <w:rPr>
          <w:lang w:val="fr-CA"/>
        </w:rPr>
      </w:pPr>
      <w:bookmarkStart w:id="123" w:name="_Toc126324277"/>
      <w:bookmarkStart w:id="124" w:name="_Toc140069022"/>
      <w:bookmarkStart w:id="125" w:name="_Toc152766306"/>
      <w:r w:rsidRPr="00683937">
        <w:rPr>
          <w:lang w:val="fr-CA"/>
        </w:rPr>
        <w:t>Accès à la salle de commande</w:t>
      </w:r>
      <w:bookmarkEnd w:id="123"/>
      <w:bookmarkEnd w:id="124"/>
      <w:bookmarkEnd w:id="125"/>
    </w:p>
    <w:p w14:paraId="18229C83" w14:textId="77777777" w:rsidR="00E96362" w:rsidRPr="00683937" w:rsidRDefault="00E96362" w:rsidP="00E96362">
      <w:pPr>
        <w:pStyle w:val="HeadingRequirementsorGuidanceLabel"/>
        <w:rPr>
          <w:lang w:val="fr-CA"/>
        </w:rPr>
      </w:pPr>
      <w:bookmarkStart w:id="126" w:name="_Toc140069023"/>
      <w:r w:rsidRPr="00683937">
        <w:rPr>
          <w:lang w:val="fr-CA"/>
        </w:rPr>
        <w:t>Exigences</w:t>
      </w:r>
      <w:bookmarkEnd w:id="126"/>
    </w:p>
    <w:p w14:paraId="02DB19A5" w14:textId="77777777" w:rsidR="00E96362" w:rsidRPr="00683937" w:rsidRDefault="00E96362" w:rsidP="00E96362">
      <w:pPr>
        <w:pStyle w:val="BodyText"/>
        <w:rPr>
          <w:lang w:val="fr-CA"/>
        </w:rPr>
      </w:pPr>
      <w:r w:rsidRPr="00683937">
        <w:rPr>
          <w:lang w:val="fr-CA"/>
        </w:rPr>
        <w:t>Le titulaire de permis doit s’assurer que l’accès aux salles de commande, aux salles d</w:t>
      </w:r>
      <w:r>
        <w:rPr>
          <w:lang w:val="fr-CA"/>
        </w:rPr>
        <w:t>e l</w:t>
      </w:r>
      <w:r w:rsidRPr="00683937">
        <w:rPr>
          <w:lang w:val="fr-CA"/>
        </w:rPr>
        <w:t xml:space="preserve">’équipement de commande, aux </w:t>
      </w:r>
      <w:r>
        <w:rPr>
          <w:lang w:val="fr-CA"/>
        </w:rPr>
        <w:t>salles</w:t>
      </w:r>
      <w:r w:rsidRPr="00683937">
        <w:rPr>
          <w:lang w:val="fr-CA"/>
        </w:rPr>
        <w:t xml:space="preserve"> de commande </w:t>
      </w:r>
      <w:r>
        <w:rPr>
          <w:lang w:val="fr-CA"/>
        </w:rPr>
        <w:t>auxiliaires</w:t>
      </w:r>
      <w:r w:rsidRPr="00683937">
        <w:rPr>
          <w:lang w:val="fr-CA"/>
        </w:rPr>
        <w:t xml:space="preserve"> (s’il y en a) et aux </w:t>
      </w:r>
      <w:r>
        <w:rPr>
          <w:lang w:val="fr-CA"/>
        </w:rPr>
        <w:t>salles</w:t>
      </w:r>
      <w:r w:rsidRPr="00683937">
        <w:rPr>
          <w:lang w:val="fr-CA"/>
        </w:rPr>
        <w:t xml:space="preserve"> contenant des instruments sensibles est limité et contrôlé. Il doit établir des normes régissant les comportements à adopter dans ces </w:t>
      </w:r>
      <w:r>
        <w:rPr>
          <w:lang w:val="fr-CA"/>
        </w:rPr>
        <w:t>endroits</w:t>
      </w:r>
      <w:r w:rsidRPr="00683937">
        <w:rPr>
          <w:lang w:val="fr-CA"/>
        </w:rPr>
        <w:t>.</w:t>
      </w:r>
    </w:p>
    <w:p w14:paraId="2A73906E" w14:textId="77777777" w:rsidR="00E96362" w:rsidRPr="00683937" w:rsidRDefault="00E96362" w:rsidP="00E96362">
      <w:pPr>
        <w:pStyle w:val="HeadingRequirementsorGuidanceLabel"/>
        <w:rPr>
          <w:lang w:val="fr-CA"/>
        </w:rPr>
      </w:pPr>
      <w:bookmarkStart w:id="127" w:name="_Toc140069024"/>
      <w:r w:rsidRPr="00683937">
        <w:rPr>
          <w:lang w:val="fr-CA"/>
        </w:rPr>
        <w:t>Orientation</w:t>
      </w:r>
      <w:bookmarkEnd w:id="127"/>
    </w:p>
    <w:p w14:paraId="2E789C5D" w14:textId="77777777" w:rsidR="00E96362" w:rsidRPr="00683937" w:rsidRDefault="00E96362" w:rsidP="00E96362">
      <w:pPr>
        <w:pStyle w:val="BodyText"/>
        <w:rPr>
          <w:lang w:val="fr-CA"/>
        </w:rPr>
      </w:pPr>
      <w:r w:rsidRPr="00683937">
        <w:rPr>
          <w:lang w:val="fr-CA"/>
        </w:rPr>
        <w:t>Le titulaire de permis devrait s’assurer que l’accès du personnel ne travaillant pas par quart à la salle de commande principale est restreint ou réduit au minimum au cours des changements de quart de travail et des essais et développements peu fréquents (EDPF).</w:t>
      </w:r>
    </w:p>
    <w:p w14:paraId="64136271" w14:textId="77777777" w:rsidR="00E96362" w:rsidRPr="00683937" w:rsidRDefault="00E96362" w:rsidP="00E96362">
      <w:pPr>
        <w:pStyle w:val="Heading4"/>
        <w:rPr>
          <w:lang w:val="fr-CA"/>
        </w:rPr>
      </w:pPr>
      <w:bookmarkStart w:id="128" w:name="_Toc126324278"/>
      <w:bookmarkStart w:id="129" w:name="_Toc140069025"/>
      <w:bookmarkStart w:id="130" w:name="_Toc152766307"/>
      <w:r w:rsidRPr="00683937">
        <w:rPr>
          <w:lang w:val="fr-CA"/>
        </w:rPr>
        <w:t>Outils de performance humaine pour l’exploitation</w:t>
      </w:r>
      <w:bookmarkEnd w:id="128"/>
      <w:bookmarkEnd w:id="129"/>
      <w:bookmarkEnd w:id="130"/>
    </w:p>
    <w:p w14:paraId="56B46DE7" w14:textId="77777777" w:rsidR="00E96362" w:rsidRPr="00683937" w:rsidRDefault="00E96362" w:rsidP="00E96362">
      <w:pPr>
        <w:pStyle w:val="HeadingRequirementsorGuidanceLabel"/>
        <w:rPr>
          <w:lang w:val="fr-CA"/>
        </w:rPr>
      </w:pPr>
      <w:bookmarkStart w:id="131" w:name="_Toc140069026"/>
      <w:r w:rsidRPr="00683937">
        <w:rPr>
          <w:lang w:val="fr-CA"/>
        </w:rPr>
        <w:t>Exigences</w:t>
      </w:r>
      <w:bookmarkEnd w:id="131"/>
    </w:p>
    <w:p w14:paraId="62E9237D" w14:textId="77777777" w:rsidR="00E96362" w:rsidRPr="00683937" w:rsidRDefault="00E96362" w:rsidP="00E96362">
      <w:pPr>
        <w:pStyle w:val="BodyText"/>
        <w:rPr>
          <w:lang w:val="fr-CA"/>
        </w:rPr>
      </w:pPr>
      <w:r w:rsidRPr="00683937">
        <w:rPr>
          <w:lang w:val="fr-CA"/>
        </w:rPr>
        <w:t>Le titulaire de permis doit être doté d’un programme relatif aux outils de performance humaine qui tient compte des rôles et responsabilités de chaque utilisateur de l’outil, et ce, à tous les échelons de l’organisation.</w:t>
      </w:r>
    </w:p>
    <w:p w14:paraId="250353D2" w14:textId="77777777" w:rsidR="00E96362" w:rsidRPr="00683937" w:rsidRDefault="00E96362" w:rsidP="00E96362">
      <w:pPr>
        <w:pStyle w:val="HeadingRequirementsorGuidanceLabel"/>
        <w:rPr>
          <w:lang w:val="fr-CA"/>
        </w:rPr>
      </w:pPr>
      <w:bookmarkStart w:id="132" w:name="_Toc140069027"/>
      <w:r w:rsidRPr="00683937">
        <w:rPr>
          <w:lang w:val="fr-CA"/>
        </w:rPr>
        <w:t>Orientation</w:t>
      </w:r>
      <w:bookmarkEnd w:id="132"/>
    </w:p>
    <w:p w14:paraId="0BB357DD" w14:textId="77777777" w:rsidR="00E96362" w:rsidRPr="00683937" w:rsidRDefault="00E96362" w:rsidP="00E96362">
      <w:pPr>
        <w:pStyle w:val="BodyText"/>
        <w:rPr>
          <w:lang w:val="fr-CA"/>
        </w:rPr>
      </w:pPr>
      <w:r w:rsidRPr="00683937">
        <w:rPr>
          <w:lang w:val="fr-CA"/>
        </w:rPr>
        <w:t>Le titulaire de permis devrait s’assurer que les outils de performance humaine sont intégrés efficacement à tous les processus opérationnels continus.</w:t>
      </w:r>
    </w:p>
    <w:p w14:paraId="7A3E7214" w14:textId="77777777" w:rsidR="00E96362" w:rsidRPr="00683937" w:rsidRDefault="00E96362" w:rsidP="00E96362">
      <w:pPr>
        <w:pStyle w:val="BodyText"/>
        <w:keepNext/>
        <w:spacing w:after="0"/>
        <w:rPr>
          <w:lang w:val="fr-CA"/>
        </w:rPr>
      </w:pPr>
      <w:r w:rsidRPr="00683937">
        <w:rPr>
          <w:lang w:val="fr-CA"/>
        </w:rPr>
        <w:t>Les outils de performance humaine sont aussi appelés des « outils sans événement ». En voici quelques exemples :</w:t>
      </w:r>
    </w:p>
    <w:p w14:paraId="48AB5D54" w14:textId="77777777" w:rsidR="00E96362" w:rsidRPr="00683937" w:rsidRDefault="00E96362" w:rsidP="00E96362">
      <w:pPr>
        <w:pStyle w:val="BulletList"/>
        <w:keepNext/>
        <w:numPr>
          <w:ilvl w:val="0"/>
          <w:numId w:val="8"/>
        </w:numPr>
        <w:ind w:left="1080"/>
        <w:rPr>
          <w:lang w:val="fr-CA"/>
        </w:rPr>
      </w:pPr>
      <w:r>
        <w:rPr>
          <w:lang w:val="fr-CA"/>
        </w:rPr>
        <w:t>r</w:t>
      </w:r>
      <w:r w:rsidRPr="00683937">
        <w:rPr>
          <w:lang w:val="fr-CA"/>
        </w:rPr>
        <w:t xml:space="preserve">éunions de travail avant et après l’exécution de </w:t>
      </w:r>
      <w:r>
        <w:rPr>
          <w:lang w:val="fr-CA"/>
        </w:rPr>
        <w:t>travaux</w:t>
      </w:r>
    </w:p>
    <w:p w14:paraId="7128474A" w14:textId="77777777" w:rsidR="00E96362" w:rsidRPr="00683937" w:rsidRDefault="00E96362" w:rsidP="00E96362">
      <w:pPr>
        <w:pStyle w:val="BulletList"/>
        <w:numPr>
          <w:ilvl w:val="0"/>
          <w:numId w:val="8"/>
        </w:numPr>
        <w:ind w:left="1080"/>
        <w:rPr>
          <w:lang w:val="fr-CA"/>
        </w:rPr>
      </w:pPr>
      <w:r>
        <w:rPr>
          <w:lang w:val="fr-CA"/>
        </w:rPr>
        <w:t>p</w:t>
      </w:r>
      <w:r w:rsidRPr="00683937">
        <w:rPr>
          <w:lang w:val="fr-CA"/>
        </w:rPr>
        <w:t>rise de décisions prudentes</w:t>
      </w:r>
    </w:p>
    <w:p w14:paraId="3143D1AD" w14:textId="77777777" w:rsidR="00E96362" w:rsidRPr="00683937" w:rsidRDefault="00E96362" w:rsidP="00E96362">
      <w:pPr>
        <w:pStyle w:val="BulletList"/>
        <w:keepNext/>
        <w:numPr>
          <w:ilvl w:val="0"/>
          <w:numId w:val="8"/>
        </w:numPr>
        <w:ind w:left="1077" w:hanging="357"/>
        <w:rPr>
          <w:lang w:val="fr-CA"/>
        </w:rPr>
      </w:pPr>
      <w:r>
        <w:rPr>
          <w:lang w:val="fr-CA"/>
        </w:rPr>
        <w:t>a</w:t>
      </w:r>
      <w:r w:rsidRPr="00683937">
        <w:rPr>
          <w:lang w:val="fr-CA"/>
        </w:rPr>
        <w:t xml:space="preserve">ttitude de remise en question </w:t>
      </w:r>
    </w:p>
    <w:p w14:paraId="11CFB3FD" w14:textId="77777777" w:rsidR="00E96362" w:rsidRPr="00683937" w:rsidRDefault="00E96362" w:rsidP="00E96362">
      <w:pPr>
        <w:pStyle w:val="BulletListLastItem"/>
        <w:numPr>
          <w:ilvl w:val="0"/>
          <w:numId w:val="8"/>
        </w:numPr>
        <w:ind w:left="1080"/>
        <w:rPr>
          <w:lang w:val="fr-CA"/>
        </w:rPr>
      </w:pPr>
      <w:r>
        <w:rPr>
          <w:lang w:val="fr-CA"/>
        </w:rPr>
        <w:t>u</w:t>
      </w:r>
      <w:r w:rsidRPr="00683937">
        <w:rPr>
          <w:lang w:val="fr-CA"/>
        </w:rPr>
        <w:t>tilisation et respect des procédures</w:t>
      </w:r>
    </w:p>
    <w:p w14:paraId="6838B817" w14:textId="77777777" w:rsidR="00E96362" w:rsidRPr="00683937" w:rsidRDefault="00E96362" w:rsidP="00E96362">
      <w:pPr>
        <w:pStyle w:val="Heading4"/>
        <w:rPr>
          <w:lang w:val="fr-CA"/>
        </w:rPr>
      </w:pPr>
      <w:bookmarkStart w:id="133" w:name="_Toc126324279"/>
      <w:bookmarkStart w:id="134" w:name="_Toc140069028"/>
      <w:bookmarkStart w:id="135" w:name="_Toc152766308"/>
      <w:r w:rsidRPr="00683937">
        <w:rPr>
          <w:lang w:val="fr-CA"/>
        </w:rPr>
        <w:t>Exécution d’activités susceptibles d’avoir une incidence sur l’exploitation</w:t>
      </w:r>
      <w:bookmarkEnd w:id="133"/>
      <w:bookmarkEnd w:id="134"/>
      <w:bookmarkEnd w:id="135"/>
    </w:p>
    <w:p w14:paraId="62FB399F" w14:textId="77777777" w:rsidR="00E96362" w:rsidRPr="00683937" w:rsidRDefault="00E96362" w:rsidP="00E96362">
      <w:pPr>
        <w:pStyle w:val="HeadingRequirementsorGuidanceLabel"/>
        <w:rPr>
          <w:lang w:val="fr-CA"/>
        </w:rPr>
      </w:pPr>
      <w:bookmarkStart w:id="136" w:name="_Toc140069029"/>
      <w:r w:rsidRPr="00683937">
        <w:rPr>
          <w:lang w:val="fr-CA"/>
        </w:rPr>
        <w:t>Exigences</w:t>
      </w:r>
      <w:bookmarkEnd w:id="136"/>
    </w:p>
    <w:p w14:paraId="5ADE7ED9" w14:textId="77777777" w:rsidR="00E96362" w:rsidRPr="00683937" w:rsidRDefault="00E96362" w:rsidP="00E96362">
      <w:pPr>
        <w:pStyle w:val="BodyText"/>
        <w:rPr>
          <w:lang w:val="fr-CA"/>
        </w:rPr>
      </w:pPr>
      <w:r w:rsidRPr="00683937">
        <w:rPr>
          <w:lang w:val="fr-CA"/>
        </w:rPr>
        <w:t xml:space="preserve">Le titulaire de permis doit évaluer toutes les activités courantes et ponctuelles, y compris l’entretien, afin d’en déterminer les répercussions sur l’exploitation de l’installation. Ces évaluations doivent caractériser les répercussions sur les marges opérationnelles prévues par l’analyse déterministe de la sûreté, sur les objectifs de sûreté probabilistes et sur les dangers susceptibles d’avoir une incidence sur la sécurité des travailleurs. </w:t>
      </w:r>
    </w:p>
    <w:p w14:paraId="24B52EDD" w14:textId="77777777" w:rsidR="00E96362" w:rsidRPr="00683937" w:rsidRDefault="00E96362" w:rsidP="00E96362">
      <w:pPr>
        <w:pStyle w:val="BodyText"/>
        <w:rPr>
          <w:lang w:val="fr-CA"/>
        </w:rPr>
      </w:pPr>
      <w:r w:rsidRPr="00683937">
        <w:rPr>
          <w:lang w:val="fr-CA"/>
        </w:rPr>
        <w:t xml:space="preserve">Le titulaire de permis doit se fonder sur l’importance de la tâche </w:t>
      </w:r>
      <w:r>
        <w:rPr>
          <w:lang w:val="fr-CA"/>
        </w:rPr>
        <w:t xml:space="preserve">sur le plan de </w:t>
      </w:r>
      <w:r w:rsidRPr="00683937">
        <w:rPr>
          <w:lang w:val="fr-CA"/>
        </w:rPr>
        <w:t xml:space="preserve">la sûreté pour déterminer le niveau approprié d’évaluation ainsi que la vérification et le contrôle subséquents des activités de cette nature. </w:t>
      </w:r>
    </w:p>
    <w:p w14:paraId="55D39A91" w14:textId="77777777" w:rsidR="00E96362" w:rsidRPr="00683937" w:rsidRDefault="00E96362" w:rsidP="00E96362">
      <w:pPr>
        <w:pStyle w:val="BodyText"/>
        <w:rPr>
          <w:lang w:val="fr-CA"/>
        </w:rPr>
      </w:pPr>
      <w:r w:rsidRPr="00683937">
        <w:rPr>
          <w:lang w:val="fr-CA"/>
        </w:rPr>
        <w:t>Le titulaire de permis doit s’assurer que les approbations appropriées ont été obtenues avant l’exécution d’activités susceptibles d’avoir une incidence sur l’exploitation.</w:t>
      </w:r>
    </w:p>
    <w:p w14:paraId="31DD950D" w14:textId="77777777" w:rsidR="00E96362" w:rsidRPr="00683937" w:rsidRDefault="00E96362" w:rsidP="00E96362">
      <w:pPr>
        <w:pStyle w:val="HeadingRequirementsorGuidanceLabel"/>
        <w:rPr>
          <w:lang w:val="fr-CA"/>
        </w:rPr>
      </w:pPr>
      <w:bookmarkStart w:id="137" w:name="_Toc140069030"/>
      <w:r w:rsidRPr="00683937">
        <w:rPr>
          <w:lang w:val="fr-CA"/>
        </w:rPr>
        <w:t>Orientation</w:t>
      </w:r>
      <w:bookmarkEnd w:id="137"/>
    </w:p>
    <w:p w14:paraId="1CABEE8A" w14:textId="77777777" w:rsidR="00E96362" w:rsidRPr="00683937" w:rsidRDefault="00E96362" w:rsidP="00E96362">
      <w:pPr>
        <w:pStyle w:val="BodyText"/>
        <w:rPr>
          <w:lang w:val="fr-CA"/>
        </w:rPr>
      </w:pPr>
      <w:r w:rsidRPr="00683937">
        <w:rPr>
          <w:lang w:val="fr-CA"/>
        </w:rPr>
        <w:t>Le titulaire de permis devrait prendre en compte l’incidence cumulative, par exemple sur les marges opérationnelles, de l’ensemble des travaux devant être réalisés pendant la même période.</w:t>
      </w:r>
      <w:r w:rsidRPr="00683937" w:rsidDel="005F3461">
        <w:rPr>
          <w:lang w:val="fr-CA"/>
        </w:rPr>
        <w:t xml:space="preserve"> </w:t>
      </w:r>
    </w:p>
    <w:p w14:paraId="0AEADD4F" w14:textId="77777777" w:rsidR="00E96362" w:rsidRPr="00683937" w:rsidRDefault="00E96362" w:rsidP="00E96362">
      <w:pPr>
        <w:pStyle w:val="Heading3"/>
        <w:rPr>
          <w:lang w:val="fr-CA"/>
        </w:rPr>
      </w:pPr>
      <w:bookmarkStart w:id="138" w:name="_Toc126324280"/>
      <w:bookmarkStart w:id="139" w:name="_Toc140069031"/>
      <w:bookmarkStart w:id="140" w:name="_Toc140069137"/>
      <w:bookmarkStart w:id="141" w:name="_Toc140069180"/>
      <w:bookmarkStart w:id="142" w:name="_Toc152766309"/>
      <w:r w:rsidRPr="00683937">
        <w:rPr>
          <w:lang w:val="fr-CA"/>
        </w:rPr>
        <w:t>Essais et surveillance</w:t>
      </w:r>
      <w:bookmarkEnd w:id="138"/>
      <w:bookmarkEnd w:id="139"/>
      <w:bookmarkEnd w:id="140"/>
      <w:bookmarkEnd w:id="141"/>
      <w:bookmarkEnd w:id="142"/>
    </w:p>
    <w:p w14:paraId="6F38C383" w14:textId="77777777" w:rsidR="00E96362" w:rsidRPr="00683937" w:rsidRDefault="00E96362" w:rsidP="00E96362">
      <w:pPr>
        <w:pStyle w:val="BodyText"/>
        <w:rPr>
          <w:lang w:val="fr-CA"/>
        </w:rPr>
      </w:pPr>
      <w:r w:rsidRPr="00683937">
        <w:rPr>
          <w:lang w:val="fr-CA"/>
        </w:rPr>
        <w:t>La surveillance comprend la vaste gamme d’activités entreprises au quotidien afin de vérifier si l’exploitation est à l’intérieur des limites d’exploitation sûre, comme la vérification des panneaux, les tâches courantes de l’opérateur, les essais d</w:t>
      </w:r>
      <w:r>
        <w:rPr>
          <w:lang w:val="fr-CA"/>
        </w:rPr>
        <w:t>u</w:t>
      </w:r>
      <w:r w:rsidRPr="00683937">
        <w:rPr>
          <w:lang w:val="fr-CA"/>
        </w:rPr>
        <w:t xml:space="preserve"> programme de fiabilité, l’échantillonnage chimique et les étalonnages.</w:t>
      </w:r>
    </w:p>
    <w:p w14:paraId="6FB1720C" w14:textId="71C07A4F" w:rsidR="00E96362" w:rsidRDefault="00E96362" w:rsidP="00E96362">
      <w:pPr>
        <w:pStyle w:val="BodyText"/>
        <w:rPr>
          <w:lang w:val="fr-CA"/>
        </w:rPr>
      </w:pPr>
      <w:r w:rsidRPr="00683937">
        <w:rPr>
          <w:lang w:val="fr-CA"/>
        </w:rPr>
        <w:t xml:space="preserve">Le programme de surveillance sert à détecter rapidement les situations de dégradation ou de vieillissement des SSC qui pourraient donner lieu à des conditions non sécuritaires. </w:t>
      </w:r>
    </w:p>
    <w:p w14:paraId="00212708" w14:textId="78653968" w:rsidR="0003045D" w:rsidRPr="00C97FE8" w:rsidRDefault="00C97FE8" w:rsidP="0003045D">
      <w:pPr>
        <w:pStyle w:val="BodyText"/>
        <w:rPr>
          <w:lang w:val="fr-CA"/>
        </w:rPr>
      </w:pPr>
      <w:r w:rsidRPr="001D333C">
        <w:rPr>
          <w:lang w:val="fr-CA"/>
        </w:rPr>
        <w:t>Il convient de noter que d</w:t>
      </w:r>
      <w:r>
        <w:rPr>
          <w:lang w:val="fr-CA"/>
        </w:rPr>
        <w:t>’</w:t>
      </w:r>
      <w:r w:rsidRPr="001D333C">
        <w:rPr>
          <w:lang w:val="fr-CA"/>
        </w:rPr>
        <w:t>autres programmes, tels que l</w:t>
      </w:r>
      <w:r>
        <w:rPr>
          <w:lang w:val="fr-CA"/>
        </w:rPr>
        <w:t>’</w:t>
      </w:r>
      <w:r w:rsidRPr="001D333C">
        <w:rPr>
          <w:lang w:val="fr-CA"/>
        </w:rPr>
        <w:t xml:space="preserve">entretien et les inspections en service, ne </w:t>
      </w:r>
      <w:r>
        <w:rPr>
          <w:lang w:val="fr-CA"/>
        </w:rPr>
        <w:t>font pas partie des activités d’</w:t>
      </w:r>
      <w:r w:rsidRPr="001D333C">
        <w:rPr>
          <w:lang w:val="fr-CA"/>
        </w:rPr>
        <w:t xml:space="preserve">essais et </w:t>
      </w:r>
      <w:r>
        <w:rPr>
          <w:lang w:val="fr-CA"/>
        </w:rPr>
        <w:t>de</w:t>
      </w:r>
      <w:r w:rsidRPr="001D333C">
        <w:rPr>
          <w:lang w:val="fr-CA"/>
        </w:rPr>
        <w:t xml:space="preserve"> surveillance.</w:t>
      </w:r>
    </w:p>
    <w:p w14:paraId="05712123" w14:textId="77777777" w:rsidR="00E96362" w:rsidRPr="00683937" w:rsidRDefault="00E96362" w:rsidP="00E96362">
      <w:pPr>
        <w:pStyle w:val="HeadingRequirementsorGuidanceLabel"/>
        <w:rPr>
          <w:lang w:val="fr-CA"/>
        </w:rPr>
      </w:pPr>
      <w:bookmarkStart w:id="143" w:name="_Toc140069032"/>
      <w:r w:rsidRPr="00683937">
        <w:rPr>
          <w:lang w:val="fr-CA"/>
        </w:rPr>
        <w:t>Orientation</w:t>
      </w:r>
      <w:bookmarkEnd w:id="143"/>
    </w:p>
    <w:p w14:paraId="6010E90B" w14:textId="77777777" w:rsidR="00E96362" w:rsidRPr="00683937" w:rsidRDefault="00E96362" w:rsidP="00E96362">
      <w:pPr>
        <w:pStyle w:val="BodyText"/>
        <w:rPr>
          <w:lang w:val="fr-CA"/>
        </w:rPr>
      </w:pPr>
      <w:r w:rsidRPr="00683937">
        <w:rPr>
          <w:lang w:val="fr-CA"/>
        </w:rPr>
        <w:t xml:space="preserve">Le titulaire de permis devrait passer en revue les résultats des essais de surveillance afin d’établir s’il s’en dégage des tendances à long terme dénotant des détériorations. </w:t>
      </w:r>
    </w:p>
    <w:p w14:paraId="03C94715" w14:textId="77777777" w:rsidR="00E96362" w:rsidRPr="00683937" w:rsidRDefault="00E96362" w:rsidP="00E96362">
      <w:pPr>
        <w:pStyle w:val="BodyText"/>
        <w:keepNext/>
        <w:spacing w:after="0"/>
        <w:rPr>
          <w:lang w:val="fr-CA"/>
        </w:rPr>
      </w:pPr>
      <w:r w:rsidRPr="00683937">
        <w:rPr>
          <w:lang w:val="fr-CA"/>
        </w:rPr>
        <w:t>Pour obtenir plus d’information, veuillez consulter les documents suivants :</w:t>
      </w:r>
    </w:p>
    <w:p w14:paraId="5BB89C50" w14:textId="2A63E693" w:rsidR="00E96362" w:rsidRDefault="00E96362" w:rsidP="00E96362">
      <w:pPr>
        <w:pStyle w:val="BulletList"/>
        <w:keepNext/>
        <w:numPr>
          <w:ilvl w:val="0"/>
          <w:numId w:val="8"/>
        </w:numPr>
        <w:ind w:left="1080"/>
        <w:rPr>
          <w:lang w:val="fr-CA"/>
        </w:rPr>
      </w:pPr>
      <w:r w:rsidRPr="00683937">
        <w:rPr>
          <w:lang w:val="fr-CA"/>
        </w:rPr>
        <w:t>REGDOC</w:t>
      </w:r>
      <w:r w:rsidRPr="00683937">
        <w:rPr>
          <w:lang w:val="fr-CA"/>
        </w:rPr>
        <w:noBreakHyphen/>
        <w:t xml:space="preserve">2.6.3, </w:t>
      </w:r>
      <w:r w:rsidRPr="00683937">
        <w:rPr>
          <w:i/>
          <w:iCs/>
          <w:lang w:val="fr-CA"/>
        </w:rPr>
        <w:t>Gestion du vieillissement</w:t>
      </w:r>
      <w:r w:rsidRPr="00683937">
        <w:rPr>
          <w:lang w:val="fr-CA"/>
        </w:rPr>
        <w:t> [</w:t>
      </w:r>
      <w:r w:rsidR="0075619F">
        <w:rPr>
          <w:lang w:val="fr-CA"/>
        </w:rPr>
        <w:t>2</w:t>
      </w:r>
      <w:r w:rsidR="003F5908">
        <w:rPr>
          <w:lang w:val="fr-CA"/>
        </w:rPr>
        <w:t>3</w:t>
      </w:r>
      <w:r w:rsidRPr="00683937">
        <w:rPr>
          <w:lang w:val="fr-CA"/>
        </w:rPr>
        <w:t>]</w:t>
      </w:r>
    </w:p>
    <w:p w14:paraId="0D526569" w14:textId="00BE714F" w:rsidR="007C177A" w:rsidRDefault="007C177A" w:rsidP="00E96362">
      <w:pPr>
        <w:pStyle w:val="BulletList"/>
        <w:keepNext/>
        <w:numPr>
          <w:ilvl w:val="0"/>
          <w:numId w:val="8"/>
        </w:numPr>
        <w:ind w:left="1080"/>
        <w:rPr>
          <w:lang w:val="fr-CA"/>
        </w:rPr>
      </w:pPr>
      <w:r w:rsidRPr="00223C6B">
        <w:rPr>
          <w:lang w:val="fr-CA"/>
        </w:rPr>
        <w:t>REGDOC</w:t>
      </w:r>
      <w:r w:rsidRPr="00223C6B">
        <w:rPr>
          <w:lang w:val="fr-CA"/>
        </w:rPr>
        <w:noBreakHyphen/>
        <w:t>2.6.</w:t>
      </w:r>
      <w:r>
        <w:rPr>
          <w:lang w:val="fr-CA"/>
        </w:rPr>
        <w:t>1</w:t>
      </w:r>
      <w:r w:rsidRPr="00223C6B">
        <w:rPr>
          <w:lang w:val="fr-CA"/>
        </w:rPr>
        <w:t xml:space="preserve">, </w:t>
      </w:r>
      <w:r w:rsidRPr="007C177A">
        <w:rPr>
          <w:i/>
          <w:iCs/>
          <w:u w:color="0000FF"/>
          <w:lang w:val="fr-CA"/>
        </w:rPr>
        <w:t>Programmes de fiabilité pour les centrales nucléaires</w:t>
      </w:r>
      <w:r>
        <w:rPr>
          <w:lang w:val="fr-CA"/>
        </w:rPr>
        <w:t> [</w:t>
      </w:r>
      <w:r w:rsidR="00DA55CE">
        <w:rPr>
          <w:lang w:val="fr-CA"/>
        </w:rPr>
        <w:t>2</w:t>
      </w:r>
      <w:r w:rsidR="003F5908">
        <w:rPr>
          <w:lang w:val="fr-CA"/>
        </w:rPr>
        <w:t>4</w:t>
      </w:r>
      <w:r>
        <w:rPr>
          <w:lang w:val="fr-CA"/>
        </w:rPr>
        <w:t>]</w:t>
      </w:r>
    </w:p>
    <w:p w14:paraId="774B00DC" w14:textId="614C1B84" w:rsidR="0003045D" w:rsidRPr="00683937" w:rsidRDefault="0003045D" w:rsidP="00E96362">
      <w:pPr>
        <w:pStyle w:val="BulletList"/>
        <w:keepNext/>
        <w:numPr>
          <w:ilvl w:val="0"/>
          <w:numId w:val="8"/>
        </w:numPr>
        <w:ind w:left="1080"/>
        <w:rPr>
          <w:lang w:val="fr-CA"/>
        </w:rPr>
      </w:pPr>
      <w:r w:rsidRPr="00683937">
        <w:rPr>
          <w:lang w:val="fr-CA"/>
        </w:rPr>
        <w:t>REGDOC</w:t>
      </w:r>
      <w:r w:rsidRPr="00683937">
        <w:rPr>
          <w:lang w:val="fr-CA"/>
        </w:rPr>
        <w:noBreakHyphen/>
        <w:t xml:space="preserve">2.6.2, </w:t>
      </w:r>
      <w:r w:rsidRPr="00683937">
        <w:rPr>
          <w:i/>
          <w:iCs/>
          <w:lang w:val="fr-CA"/>
        </w:rPr>
        <w:t>Programmes d’entretien des centrales nucléaires</w:t>
      </w:r>
      <w:r w:rsidRPr="00683937">
        <w:rPr>
          <w:lang w:val="fr-CA"/>
        </w:rPr>
        <w:t> [</w:t>
      </w:r>
      <w:r>
        <w:rPr>
          <w:lang w:val="fr-CA"/>
        </w:rPr>
        <w:t>20</w:t>
      </w:r>
      <w:r w:rsidRPr="00683937">
        <w:rPr>
          <w:lang w:val="fr-CA"/>
        </w:rPr>
        <w:t>]</w:t>
      </w:r>
    </w:p>
    <w:p w14:paraId="54517EEE" w14:textId="77777777" w:rsidR="00E96362" w:rsidRPr="00683937" w:rsidRDefault="00E96362" w:rsidP="00E96362">
      <w:pPr>
        <w:pStyle w:val="BulletList"/>
        <w:keepNext/>
        <w:numPr>
          <w:ilvl w:val="0"/>
          <w:numId w:val="8"/>
        </w:numPr>
        <w:ind w:left="1080"/>
        <w:rPr>
          <w:lang w:val="fr-CA"/>
        </w:rPr>
      </w:pPr>
      <w:r>
        <w:rPr>
          <w:lang w:val="fr-CA"/>
        </w:rPr>
        <w:t>a</w:t>
      </w:r>
      <w:r w:rsidRPr="00683937">
        <w:rPr>
          <w:lang w:val="fr-CA"/>
        </w:rPr>
        <w:t>u sujet du programme de surveillance des paramètres d’exploitation sûre, veuillez consulter :</w:t>
      </w:r>
    </w:p>
    <w:p w14:paraId="557F5071" w14:textId="18CE538A" w:rsidR="00E96362" w:rsidRPr="00683937" w:rsidRDefault="00E96362" w:rsidP="00E96362">
      <w:pPr>
        <w:pStyle w:val="BulletListSub-item"/>
        <w:keepNext/>
        <w:numPr>
          <w:ilvl w:val="0"/>
          <w:numId w:val="7"/>
        </w:numPr>
        <w:ind w:left="1440"/>
        <w:rPr>
          <w:lang w:val="fr-CA"/>
        </w:rPr>
      </w:pPr>
      <w:r w:rsidRPr="00683937">
        <w:rPr>
          <w:lang w:val="fr-CA"/>
        </w:rPr>
        <w:t xml:space="preserve">la norme CSA N290.15, </w:t>
      </w:r>
      <w:r w:rsidRPr="00683937">
        <w:rPr>
          <w:i/>
          <w:iCs/>
          <w:lang w:val="fr-CA"/>
        </w:rPr>
        <w:t>Exigences relatives à l’enveloppe d’exploitation sûre des centrales nucléaires</w:t>
      </w:r>
      <w:r w:rsidRPr="00683937">
        <w:rPr>
          <w:lang w:val="fr-CA"/>
        </w:rPr>
        <w:t> [</w:t>
      </w:r>
      <w:r w:rsidR="007C177A">
        <w:rPr>
          <w:lang w:val="fr-CA"/>
        </w:rPr>
        <w:t>2</w:t>
      </w:r>
      <w:r w:rsidR="003F5908">
        <w:rPr>
          <w:lang w:val="fr-CA"/>
        </w:rPr>
        <w:t>5</w:t>
      </w:r>
      <w:r w:rsidRPr="00683937">
        <w:rPr>
          <w:lang w:val="fr-CA"/>
        </w:rPr>
        <w:t>]</w:t>
      </w:r>
    </w:p>
    <w:p w14:paraId="103DF30B" w14:textId="77777777" w:rsidR="00E96362" w:rsidRPr="00683937" w:rsidRDefault="00E96362" w:rsidP="00E96362">
      <w:pPr>
        <w:pStyle w:val="BulletListSub-itemBottom"/>
        <w:tabs>
          <w:tab w:val="num" w:pos="2492"/>
        </w:tabs>
        <w:rPr>
          <w:lang w:val="fr-CA"/>
        </w:rPr>
      </w:pPr>
      <w:r w:rsidRPr="00683937">
        <w:rPr>
          <w:lang w:val="fr-CA"/>
        </w:rPr>
        <w:t xml:space="preserve">la section 8.2, </w:t>
      </w:r>
      <w:r w:rsidRPr="00683937">
        <w:rPr>
          <w:i/>
          <w:iCs/>
          <w:lang w:val="fr-CA"/>
        </w:rPr>
        <w:t>Programme de surveillance et d’essais</w:t>
      </w:r>
      <w:r w:rsidRPr="00683937">
        <w:rPr>
          <w:lang w:val="fr-CA"/>
        </w:rPr>
        <w:t xml:space="preserve">, du présent </w:t>
      </w:r>
      <w:r>
        <w:rPr>
          <w:lang w:val="fr-CA"/>
        </w:rPr>
        <w:t>REGDOC</w:t>
      </w:r>
    </w:p>
    <w:p w14:paraId="33A1A75E" w14:textId="77777777" w:rsidR="00E96362" w:rsidRPr="00683937" w:rsidRDefault="00E96362" w:rsidP="00E96362">
      <w:pPr>
        <w:pStyle w:val="Heading4"/>
        <w:rPr>
          <w:lang w:val="fr-CA"/>
        </w:rPr>
      </w:pPr>
      <w:bookmarkStart w:id="144" w:name="_Toc126324281"/>
      <w:bookmarkStart w:id="145" w:name="_Toc140069033"/>
      <w:bookmarkStart w:id="146" w:name="_Toc152766310"/>
      <w:r>
        <w:rPr>
          <w:lang w:val="fr-CA"/>
        </w:rPr>
        <w:t>Rondes</w:t>
      </w:r>
      <w:r w:rsidRPr="00683937">
        <w:rPr>
          <w:lang w:val="fr-CA"/>
        </w:rPr>
        <w:t xml:space="preserve"> de vérification</w:t>
      </w:r>
      <w:bookmarkEnd w:id="144"/>
      <w:bookmarkEnd w:id="145"/>
      <w:bookmarkEnd w:id="146"/>
    </w:p>
    <w:p w14:paraId="5B9E87BB" w14:textId="77777777" w:rsidR="00E96362" w:rsidRPr="00683937" w:rsidRDefault="00E96362" w:rsidP="00E96362">
      <w:pPr>
        <w:pStyle w:val="HeadingRequirementsorGuidanceLabel"/>
        <w:rPr>
          <w:lang w:val="fr-CA"/>
        </w:rPr>
      </w:pPr>
      <w:bookmarkStart w:id="147" w:name="_Toc140069034"/>
      <w:r w:rsidRPr="00683937">
        <w:rPr>
          <w:lang w:val="fr-CA"/>
        </w:rPr>
        <w:t>Exigences</w:t>
      </w:r>
      <w:bookmarkEnd w:id="147"/>
    </w:p>
    <w:p w14:paraId="6BC9EED1" w14:textId="77777777" w:rsidR="00E96362" w:rsidRPr="00683937" w:rsidRDefault="00E96362" w:rsidP="00E96362">
      <w:pPr>
        <w:pStyle w:val="BodyText"/>
        <w:keepNext/>
        <w:spacing w:after="0"/>
        <w:rPr>
          <w:lang w:val="fr-CA"/>
        </w:rPr>
      </w:pPr>
      <w:r w:rsidRPr="00683937">
        <w:rPr>
          <w:lang w:val="fr-CA"/>
        </w:rPr>
        <w:t>Le titulaire de permis doit s’assurer que :</w:t>
      </w:r>
    </w:p>
    <w:p w14:paraId="3CDBB89E" w14:textId="7C4F3A9E" w:rsidR="00E96362" w:rsidRPr="00683937" w:rsidRDefault="00E96362" w:rsidP="00E96362">
      <w:pPr>
        <w:pStyle w:val="BulletList"/>
        <w:keepNext/>
        <w:numPr>
          <w:ilvl w:val="0"/>
          <w:numId w:val="8"/>
        </w:numPr>
        <w:ind w:left="1077" w:hanging="357"/>
        <w:rPr>
          <w:lang w:val="fr-CA"/>
        </w:rPr>
      </w:pPr>
      <w:r w:rsidRPr="00683937">
        <w:rPr>
          <w:lang w:val="fr-CA"/>
        </w:rPr>
        <w:t xml:space="preserve">les </w:t>
      </w:r>
      <w:r>
        <w:rPr>
          <w:lang w:val="fr-CA"/>
        </w:rPr>
        <w:t>rondes</w:t>
      </w:r>
      <w:r w:rsidRPr="00683937">
        <w:rPr>
          <w:lang w:val="fr-CA"/>
        </w:rPr>
        <w:t xml:space="preserve"> et les tâches courantes de l’opérateur sont </w:t>
      </w:r>
      <w:r w:rsidR="00CF7F73" w:rsidRPr="00B14D44">
        <w:rPr>
          <w:lang w:val="fr-CA"/>
        </w:rPr>
        <w:t xml:space="preserve">servent </w:t>
      </w:r>
      <w:r w:rsidR="00755170" w:rsidRPr="00755170">
        <w:rPr>
          <w:lang w:val="fr-CA"/>
        </w:rPr>
        <w:t xml:space="preserve">à concevoir l’équipement et à en </w:t>
      </w:r>
      <w:r w:rsidR="00CF7F73" w:rsidRPr="00B14D44">
        <w:rPr>
          <w:lang w:val="fr-CA"/>
        </w:rPr>
        <w:t>évaluer</w:t>
      </w:r>
      <w:r w:rsidRPr="00683937">
        <w:rPr>
          <w:lang w:val="fr-CA"/>
        </w:rPr>
        <w:t xml:space="preserve"> l’état de l’équipement et de déceler les conditions anormales et les dangers</w:t>
      </w:r>
    </w:p>
    <w:p w14:paraId="5446666E" w14:textId="43641489" w:rsidR="00E96362" w:rsidRPr="00683937" w:rsidRDefault="00E96362" w:rsidP="00E96362">
      <w:pPr>
        <w:pStyle w:val="BulletList"/>
        <w:keepNext/>
        <w:numPr>
          <w:ilvl w:val="0"/>
          <w:numId w:val="8"/>
        </w:numPr>
        <w:ind w:left="1077" w:hanging="357"/>
        <w:rPr>
          <w:lang w:val="fr-CA"/>
        </w:rPr>
      </w:pPr>
      <w:r w:rsidRPr="00683937">
        <w:rPr>
          <w:lang w:val="fr-CA"/>
        </w:rPr>
        <w:t xml:space="preserve">les </w:t>
      </w:r>
      <w:r>
        <w:rPr>
          <w:lang w:val="fr-CA"/>
        </w:rPr>
        <w:t>rondes</w:t>
      </w:r>
      <w:r w:rsidRPr="00683937">
        <w:rPr>
          <w:lang w:val="fr-CA"/>
        </w:rPr>
        <w:t xml:space="preserve"> et les tâches courantes de l’opérateur sont effectuées sur une base régulière de sorte que les conditions anormales et les dangers soient décelés </w:t>
      </w:r>
      <w:r w:rsidR="00CF7F73" w:rsidRPr="00B14D44">
        <w:rPr>
          <w:lang w:val="fr-CA"/>
        </w:rPr>
        <w:t>conformément aux mesures de sûreté et de contrôle du titulaire de permis</w:t>
      </w:r>
    </w:p>
    <w:p w14:paraId="2BD46C6B" w14:textId="77777777" w:rsidR="00E96362" w:rsidRPr="00683937" w:rsidRDefault="00E96362" w:rsidP="00E96362">
      <w:pPr>
        <w:pStyle w:val="BulletListLastItem"/>
        <w:numPr>
          <w:ilvl w:val="0"/>
          <w:numId w:val="8"/>
        </w:numPr>
        <w:ind w:left="1080"/>
        <w:rPr>
          <w:lang w:val="fr-CA"/>
        </w:rPr>
      </w:pPr>
      <w:r w:rsidRPr="00683937">
        <w:rPr>
          <w:lang w:val="fr-CA"/>
        </w:rPr>
        <w:t xml:space="preserve">des mesures correctives sont appliquées lorsque des conditions anormales ou des dangers sont décelés </w:t>
      </w:r>
    </w:p>
    <w:p w14:paraId="0F501246" w14:textId="77777777" w:rsidR="00E96362" w:rsidRPr="00683937" w:rsidRDefault="00E96362" w:rsidP="00E96362">
      <w:pPr>
        <w:pStyle w:val="HeadingRequirementsorGuidanceLabel"/>
        <w:rPr>
          <w:lang w:val="fr-CA"/>
        </w:rPr>
      </w:pPr>
      <w:bookmarkStart w:id="148" w:name="_Toc140069035"/>
      <w:r w:rsidRPr="00683937">
        <w:rPr>
          <w:lang w:val="fr-CA"/>
        </w:rPr>
        <w:t>Orientation</w:t>
      </w:r>
      <w:bookmarkEnd w:id="148"/>
    </w:p>
    <w:p w14:paraId="0DD9D343" w14:textId="77777777" w:rsidR="00E96362" w:rsidRPr="00683937" w:rsidRDefault="00E96362" w:rsidP="00E96362">
      <w:pPr>
        <w:pStyle w:val="BodyText"/>
        <w:keepNext/>
        <w:spacing w:after="0"/>
        <w:rPr>
          <w:lang w:val="fr-CA"/>
        </w:rPr>
      </w:pPr>
      <w:r w:rsidRPr="00683937">
        <w:rPr>
          <w:lang w:val="fr-CA"/>
        </w:rPr>
        <w:t xml:space="preserve">Les </w:t>
      </w:r>
      <w:r>
        <w:rPr>
          <w:lang w:val="fr-CA"/>
        </w:rPr>
        <w:t>rondes</w:t>
      </w:r>
      <w:r w:rsidRPr="00683937">
        <w:rPr>
          <w:lang w:val="fr-CA"/>
        </w:rPr>
        <w:t xml:space="preserve"> de vérification comprennent les visites de l’opérateur (qui s’inscrivent dans le programme de surveillance) et ses tâches courantes, de même que les inspections. Le titulaire de permis devrait s’assurer de ce qui suit :</w:t>
      </w:r>
    </w:p>
    <w:p w14:paraId="788A5DEB"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 xml:space="preserve">es </w:t>
      </w:r>
      <w:r>
        <w:rPr>
          <w:lang w:val="fr-CA"/>
        </w:rPr>
        <w:t>rondes</w:t>
      </w:r>
      <w:r w:rsidRPr="00683937">
        <w:rPr>
          <w:lang w:val="fr-CA"/>
        </w:rPr>
        <w:t xml:space="preserve"> et les tâches courantes de l’opérateur ont préséance sur les fonctions qui ne sont pas liées à l’exploitation ou à la sûreté</w:t>
      </w:r>
    </w:p>
    <w:p w14:paraId="6F42037E"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 xml:space="preserve">es </w:t>
      </w:r>
      <w:r>
        <w:rPr>
          <w:lang w:val="fr-CA"/>
        </w:rPr>
        <w:t>rondes</w:t>
      </w:r>
      <w:r w:rsidRPr="00683937">
        <w:rPr>
          <w:lang w:val="fr-CA"/>
        </w:rPr>
        <w:t xml:space="preserve"> et les tâches courantes de l’opérateur comprennent l’enregistrement de toute modification apportée par les opérateurs sur le terrain pendant le quart de travail</w:t>
      </w:r>
    </w:p>
    <w:p w14:paraId="528CF42E"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résultats sont évalués, et font l’objet d’un suivi au besoin, au moyen de processus de détermination et de résolution des problèmes faisant partie du système de gestion</w:t>
      </w:r>
    </w:p>
    <w:p w14:paraId="048068D9" w14:textId="77777777" w:rsidR="00E96362" w:rsidRPr="00683937" w:rsidRDefault="00E96362" w:rsidP="00E96362">
      <w:pPr>
        <w:pStyle w:val="BulletListLastItem"/>
        <w:numPr>
          <w:ilvl w:val="0"/>
          <w:numId w:val="8"/>
        </w:numPr>
        <w:ind w:left="1080"/>
        <w:rPr>
          <w:lang w:val="fr-CA"/>
        </w:rPr>
      </w:pPr>
      <w:r>
        <w:rPr>
          <w:lang w:val="fr-CA"/>
        </w:rPr>
        <w:t>u</w:t>
      </w:r>
      <w:r w:rsidRPr="00683937">
        <w:rPr>
          <w:lang w:val="fr-CA"/>
        </w:rPr>
        <w:t>ne formation particulière est livrée au personnel de quart afin de voir à ce que celui-ci emploie des pratiques exemplaires lorsqu’il s’agit de déceler et de signaler des écarts</w:t>
      </w:r>
    </w:p>
    <w:p w14:paraId="4D430208" w14:textId="77777777" w:rsidR="00E96362" w:rsidRPr="00683937" w:rsidRDefault="00E96362" w:rsidP="00E96362">
      <w:pPr>
        <w:pStyle w:val="BodyText"/>
        <w:keepNext/>
        <w:spacing w:after="120"/>
        <w:rPr>
          <w:lang w:val="fr-CA"/>
        </w:rPr>
      </w:pPr>
      <w:r w:rsidRPr="00683937">
        <w:rPr>
          <w:lang w:val="fr-CA"/>
        </w:rPr>
        <w:t xml:space="preserve">Le titulaire de permis devrait envisager de mettre en place de l’équipement de surveillance à distance, dans la mesure du possible, afin de s’assurer qu’une attention particulière est accordée aux zones éloignées des installations et aux pièces d’équipement qui sont difficiles d’accès. Voici quelques exemples de facteurs que le personnel de quart devrait noter pendant ses </w:t>
      </w:r>
      <w:r>
        <w:rPr>
          <w:lang w:val="fr-CA"/>
        </w:rPr>
        <w:t>rondes</w:t>
      </w:r>
      <w:r w:rsidRPr="00683937">
        <w:rPr>
          <w:lang w:val="fr-CA"/>
        </w:rPr>
        <w:t xml:space="preserve"> de vérification :</w:t>
      </w:r>
    </w:p>
    <w:p w14:paraId="1EB1C566" w14:textId="77777777" w:rsidR="00E96362" w:rsidRPr="00683937" w:rsidRDefault="00E96362" w:rsidP="00E96362">
      <w:pPr>
        <w:pStyle w:val="BulletList"/>
        <w:numPr>
          <w:ilvl w:val="0"/>
          <w:numId w:val="8"/>
        </w:numPr>
        <w:spacing w:after="120"/>
        <w:ind w:left="1077" w:hanging="357"/>
        <w:rPr>
          <w:lang w:val="fr-CA"/>
        </w:rPr>
      </w:pPr>
      <w:r>
        <w:rPr>
          <w:lang w:val="fr-CA"/>
        </w:rPr>
        <w:t>l</w:t>
      </w:r>
      <w:r w:rsidRPr="00683937">
        <w:rPr>
          <w:lang w:val="fr-CA"/>
        </w:rPr>
        <w:t>es détériorations de toute sorte de l’état du matériel, la corrosion, les fuites provenant d’un composant, l’accumulation de produits chimiques (par exemple, l’acide borique), les vibrations excessives, les bruits inhabituels, les étiquettes inadéquates, les corps étrangers et les défectuosités nécessitant un entretien ou d’autres mesures</w:t>
      </w:r>
    </w:p>
    <w:p w14:paraId="24EEA163" w14:textId="77777777" w:rsidR="00E96362" w:rsidRPr="00683937" w:rsidRDefault="00E96362" w:rsidP="00E96362">
      <w:pPr>
        <w:pStyle w:val="BulletList"/>
        <w:numPr>
          <w:ilvl w:val="0"/>
          <w:numId w:val="8"/>
        </w:numPr>
        <w:spacing w:after="120"/>
        <w:ind w:left="1077" w:hanging="357"/>
        <w:rPr>
          <w:lang w:val="fr-CA"/>
        </w:rPr>
      </w:pPr>
      <w:r>
        <w:rPr>
          <w:lang w:val="fr-CA"/>
        </w:rPr>
        <w:t>l</w:t>
      </w:r>
      <w:r w:rsidRPr="00683937">
        <w:rPr>
          <w:lang w:val="fr-CA"/>
        </w:rPr>
        <w:t>’état de fonctionnement et d’étalonnage des appareils de mesure et d’enregistrement et des alarmes sur les panneaux locaux dans l’ensemble de l’installation, et leur capacité à être activés ou à enregistrer</w:t>
      </w:r>
    </w:p>
    <w:p w14:paraId="71B229CE" w14:textId="77777777" w:rsidR="00E96362" w:rsidRPr="00683937" w:rsidRDefault="00E96362" w:rsidP="00E96362">
      <w:pPr>
        <w:pStyle w:val="BulletList"/>
        <w:numPr>
          <w:ilvl w:val="0"/>
          <w:numId w:val="8"/>
        </w:numPr>
        <w:spacing w:after="120"/>
        <w:ind w:left="1077" w:hanging="357"/>
        <w:rPr>
          <w:lang w:val="fr-CA"/>
        </w:rPr>
      </w:pPr>
      <w:r>
        <w:rPr>
          <w:lang w:val="fr-CA"/>
        </w:rPr>
        <w:t>l</w:t>
      </w:r>
      <w:r w:rsidRPr="00683937">
        <w:rPr>
          <w:lang w:val="fr-CA"/>
        </w:rPr>
        <w:t>’obtention de l’autorisation appropriée pour les modifications temporaires sur le terrain, ainsi que les conditions et l’étiquetage applicables (par exemple, la présence de brides pleines, l’ajout de boyaux ou de connexions temporaires, et des conducteurs hors circuit dans les panneaux arrière)</w:t>
      </w:r>
    </w:p>
    <w:p w14:paraId="5AFAB1AE" w14:textId="77777777" w:rsidR="00E96362" w:rsidRPr="00683937" w:rsidRDefault="00E96362" w:rsidP="00E96362">
      <w:pPr>
        <w:pStyle w:val="BulletList"/>
        <w:keepNext/>
        <w:numPr>
          <w:ilvl w:val="0"/>
          <w:numId w:val="8"/>
        </w:numPr>
        <w:ind w:left="1080" w:hanging="357"/>
        <w:rPr>
          <w:lang w:val="fr-CA"/>
        </w:rPr>
      </w:pPr>
      <w:r>
        <w:rPr>
          <w:lang w:val="fr-CA"/>
        </w:rPr>
        <w:t>l</w:t>
      </w:r>
      <w:r w:rsidRPr="00683937">
        <w:rPr>
          <w:lang w:val="fr-CA"/>
        </w:rPr>
        <w:t>es indications d’écart par rapport aux bonnes pratiques de tenue des lieux, par exemple :</w:t>
      </w:r>
    </w:p>
    <w:p w14:paraId="5E7F4523" w14:textId="77777777" w:rsidR="00E96362" w:rsidRPr="00683937" w:rsidRDefault="00E96362" w:rsidP="00E96362">
      <w:pPr>
        <w:pStyle w:val="BulletListSub-item"/>
        <w:keepNext/>
        <w:numPr>
          <w:ilvl w:val="0"/>
          <w:numId w:val="7"/>
        </w:numPr>
        <w:ind w:left="1440" w:hanging="357"/>
        <w:rPr>
          <w:lang w:val="fr-CA"/>
        </w:rPr>
      </w:pPr>
      <w:r>
        <w:rPr>
          <w:lang w:val="fr-CA"/>
        </w:rPr>
        <w:t>l</w:t>
      </w:r>
      <w:r w:rsidRPr="00683937">
        <w:rPr>
          <w:lang w:val="fr-CA"/>
        </w:rPr>
        <w:t>’état des composants, des puisards, de l’isolation thermique et de la peinture</w:t>
      </w:r>
    </w:p>
    <w:p w14:paraId="538C4341" w14:textId="77777777" w:rsidR="00E96362" w:rsidRPr="00683937" w:rsidRDefault="00E96362" w:rsidP="00E96362">
      <w:pPr>
        <w:pStyle w:val="BulletListSub-item"/>
        <w:numPr>
          <w:ilvl w:val="0"/>
          <w:numId w:val="7"/>
        </w:numPr>
        <w:ind w:left="1440"/>
        <w:rPr>
          <w:lang w:val="fr-CA"/>
        </w:rPr>
      </w:pPr>
      <w:r>
        <w:rPr>
          <w:lang w:val="fr-CA"/>
        </w:rPr>
        <w:t>l</w:t>
      </w:r>
      <w:r w:rsidRPr="00683937">
        <w:rPr>
          <w:lang w:val="fr-CA"/>
        </w:rPr>
        <w:t>es obstructions</w:t>
      </w:r>
    </w:p>
    <w:p w14:paraId="46FCF1E6" w14:textId="77777777" w:rsidR="00E96362" w:rsidRPr="00683937" w:rsidRDefault="00E96362" w:rsidP="00E96362">
      <w:pPr>
        <w:pStyle w:val="BulletListSub-item"/>
        <w:keepNext/>
        <w:numPr>
          <w:ilvl w:val="0"/>
          <w:numId w:val="7"/>
        </w:numPr>
        <w:ind w:left="1434" w:hanging="357"/>
        <w:rPr>
          <w:lang w:val="fr-CA"/>
        </w:rPr>
      </w:pPr>
      <w:r>
        <w:rPr>
          <w:lang w:val="fr-CA"/>
        </w:rPr>
        <w:t>l</w:t>
      </w:r>
      <w:r w:rsidRPr="00683937">
        <w:rPr>
          <w:lang w:val="fr-CA"/>
        </w:rPr>
        <w:t>’affichage de panneaux et de directives dans les salles</w:t>
      </w:r>
    </w:p>
    <w:p w14:paraId="70D8E3DC" w14:textId="77777777" w:rsidR="00E96362" w:rsidRPr="00683937" w:rsidRDefault="00E96362" w:rsidP="00E96362">
      <w:pPr>
        <w:pStyle w:val="BulletListSub-itemBottom"/>
        <w:tabs>
          <w:tab w:val="num" w:pos="2492"/>
        </w:tabs>
        <w:spacing w:after="120"/>
        <w:ind w:left="1434" w:hanging="357"/>
        <w:rPr>
          <w:lang w:val="fr-CA"/>
        </w:rPr>
      </w:pPr>
      <w:r>
        <w:rPr>
          <w:lang w:val="fr-CA"/>
        </w:rPr>
        <w:t>l</w:t>
      </w:r>
      <w:r w:rsidRPr="00683937">
        <w:rPr>
          <w:lang w:val="fr-CA"/>
        </w:rPr>
        <w:t>a mise en place et l’état des barrières contre la vapeur (comme les portes de protection contre la vapeur, les grandes portes de baie ou les portes restreignant l’accès aux zones potentiellement dangereuses)</w:t>
      </w:r>
    </w:p>
    <w:p w14:paraId="4BAA70EC" w14:textId="773FD8B7" w:rsidR="00E96362" w:rsidRPr="00683937" w:rsidRDefault="00083AB6" w:rsidP="00083AB6">
      <w:pPr>
        <w:pStyle w:val="BulletList"/>
        <w:keepNext/>
        <w:numPr>
          <w:ilvl w:val="0"/>
          <w:numId w:val="8"/>
        </w:numPr>
        <w:ind w:left="1080" w:hanging="357"/>
        <w:rPr>
          <w:lang w:val="fr-CA"/>
        </w:rPr>
      </w:pPr>
      <w:r>
        <w:rPr>
          <w:lang w:val="fr-CA"/>
        </w:rPr>
        <w:t>l</w:t>
      </w:r>
      <w:r w:rsidR="00E96362" w:rsidRPr="00683937">
        <w:rPr>
          <w:lang w:val="fr-CA"/>
        </w:rPr>
        <w:t>es écarts par rapport aux règles dans les domaines suivants :</w:t>
      </w:r>
    </w:p>
    <w:p w14:paraId="64BAED44" w14:textId="77777777" w:rsidR="00E96362" w:rsidRPr="00683937" w:rsidRDefault="00E96362" w:rsidP="00E96362">
      <w:pPr>
        <w:pStyle w:val="BulletListSub-item"/>
        <w:keepNext/>
        <w:numPr>
          <w:ilvl w:val="0"/>
          <w:numId w:val="7"/>
        </w:numPr>
        <w:ind w:left="1440" w:hanging="357"/>
        <w:rPr>
          <w:lang w:val="fr-CA"/>
        </w:rPr>
      </w:pPr>
      <w:r>
        <w:rPr>
          <w:lang w:val="fr-CA"/>
        </w:rPr>
        <w:t>t</w:t>
      </w:r>
      <w:r w:rsidRPr="00683937">
        <w:rPr>
          <w:lang w:val="fr-CA"/>
        </w:rPr>
        <w:t>ravail dans les zones liées à la sûreté, par exemple les zones servant à la soudure</w:t>
      </w:r>
    </w:p>
    <w:p w14:paraId="722D3A3E" w14:textId="77777777" w:rsidR="00E96362" w:rsidRPr="00683937" w:rsidRDefault="00E96362" w:rsidP="00E96362">
      <w:pPr>
        <w:pStyle w:val="BulletListSub-item"/>
        <w:numPr>
          <w:ilvl w:val="0"/>
          <w:numId w:val="7"/>
        </w:numPr>
        <w:ind w:left="1440"/>
        <w:rPr>
          <w:lang w:val="fr-CA"/>
        </w:rPr>
      </w:pPr>
      <w:r>
        <w:rPr>
          <w:lang w:val="fr-CA"/>
        </w:rPr>
        <w:t>l</w:t>
      </w:r>
      <w:r w:rsidRPr="00683937">
        <w:rPr>
          <w:lang w:val="fr-CA"/>
        </w:rPr>
        <w:t>e port d’équipement de protection individuelle</w:t>
      </w:r>
    </w:p>
    <w:p w14:paraId="4C2055FB" w14:textId="77777777" w:rsidR="00E96362" w:rsidRPr="00683937" w:rsidRDefault="00E96362" w:rsidP="00E96362">
      <w:pPr>
        <w:pStyle w:val="BulletListSub-item"/>
        <w:keepNext/>
        <w:numPr>
          <w:ilvl w:val="0"/>
          <w:numId w:val="7"/>
        </w:numPr>
        <w:ind w:left="1434" w:hanging="357"/>
        <w:rPr>
          <w:lang w:val="fr-CA"/>
        </w:rPr>
      </w:pPr>
      <w:r>
        <w:rPr>
          <w:lang w:val="fr-CA"/>
        </w:rPr>
        <w:t>l</w:t>
      </w:r>
      <w:r w:rsidRPr="00683937">
        <w:rPr>
          <w:lang w:val="fr-CA"/>
        </w:rPr>
        <w:t>es permis de travail sous rayonnements</w:t>
      </w:r>
    </w:p>
    <w:p w14:paraId="0F8F68F6" w14:textId="77777777" w:rsidR="00E96362" w:rsidRPr="00683937" w:rsidRDefault="00E96362" w:rsidP="00E96362">
      <w:pPr>
        <w:pStyle w:val="BulletListSub-itemBottom"/>
        <w:tabs>
          <w:tab w:val="num" w:pos="2492"/>
        </w:tabs>
        <w:spacing w:after="120"/>
        <w:ind w:left="1434" w:hanging="357"/>
        <w:rPr>
          <w:lang w:val="fr-CA"/>
        </w:rPr>
      </w:pPr>
      <w:r>
        <w:rPr>
          <w:lang w:val="fr-CA"/>
        </w:rPr>
        <w:t>a</w:t>
      </w:r>
      <w:r w:rsidRPr="00683937">
        <w:rPr>
          <w:lang w:val="fr-CA"/>
        </w:rPr>
        <w:t>utres domaines relatifs à la radioprotection ou à la sécurité au travail</w:t>
      </w:r>
    </w:p>
    <w:p w14:paraId="0BBA52A1" w14:textId="400F750F" w:rsidR="00E96362" w:rsidRPr="00683937" w:rsidRDefault="00083AB6" w:rsidP="00083AB6">
      <w:pPr>
        <w:pStyle w:val="BulletList"/>
        <w:keepNext/>
        <w:numPr>
          <w:ilvl w:val="0"/>
          <w:numId w:val="8"/>
        </w:numPr>
        <w:ind w:left="1080" w:hanging="357"/>
        <w:rPr>
          <w:lang w:val="fr-CA"/>
        </w:rPr>
      </w:pPr>
      <w:r>
        <w:rPr>
          <w:lang w:val="fr-CA"/>
        </w:rPr>
        <w:t>l</w:t>
      </w:r>
      <w:r w:rsidR="00E96362" w:rsidRPr="00683937">
        <w:rPr>
          <w:lang w:val="fr-CA"/>
        </w:rPr>
        <w:t>es écarts par rapport aux règles de protection-incendie, par exemple :</w:t>
      </w:r>
    </w:p>
    <w:p w14:paraId="060092E1" w14:textId="77777777" w:rsidR="00E96362" w:rsidRPr="00683937" w:rsidRDefault="00E96362" w:rsidP="00E96362">
      <w:pPr>
        <w:pStyle w:val="BulletListSub-item"/>
        <w:keepNext/>
        <w:numPr>
          <w:ilvl w:val="0"/>
          <w:numId w:val="7"/>
        </w:numPr>
        <w:ind w:left="1440" w:hanging="357"/>
        <w:rPr>
          <w:lang w:val="fr-CA"/>
        </w:rPr>
      </w:pPr>
      <w:r>
        <w:rPr>
          <w:lang w:val="fr-CA"/>
        </w:rPr>
        <w:t>La d</w:t>
      </w:r>
      <w:r w:rsidRPr="00683937">
        <w:rPr>
          <w:lang w:val="fr-CA"/>
        </w:rPr>
        <w:t>étérioration des systèmes de protection-incendie et de l’état des portes coupe</w:t>
      </w:r>
      <w:r w:rsidRPr="00683937">
        <w:rPr>
          <w:lang w:val="fr-CA"/>
        </w:rPr>
        <w:noBreakHyphen/>
        <w:t>feu</w:t>
      </w:r>
    </w:p>
    <w:p w14:paraId="5F0F718A" w14:textId="77777777" w:rsidR="00E96362" w:rsidRPr="00683937" w:rsidRDefault="00E96362" w:rsidP="00E96362">
      <w:pPr>
        <w:pStyle w:val="BulletListSub-item"/>
        <w:keepNext/>
        <w:numPr>
          <w:ilvl w:val="0"/>
          <w:numId w:val="7"/>
        </w:numPr>
        <w:ind w:left="1434" w:hanging="357"/>
        <w:rPr>
          <w:lang w:val="fr-CA"/>
        </w:rPr>
      </w:pPr>
      <w:r>
        <w:rPr>
          <w:lang w:val="fr-CA"/>
        </w:rPr>
        <w:t>des a</w:t>
      </w:r>
      <w:r w:rsidRPr="00683937">
        <w:rPr>
          <w:lang w:val="fr-CA"/>
        </w:rPr>
        <w:t>ccumulations de matières pouvant entraîner un risque d’incendie, comme du bois, du papier, des déchets et des fuites d’huile</w:t>
      </w:r>
    </w:p>
    <w:p w14:paraId="6E83B6FD" w14:textId="77777777" w:rsidR="00E96362" w:rsidRPr="00683937" w:rsidRDefault="00E96362" w:rsidP="00E96362">
      <w:pPr>
        <w:pStyle w:val="BulletListSub-itemBottom"/>
        <w:keepNext/>
        <w:tabs>
          <w:tab w:val="num" w:pos="2492"/>
        </w:tabs>
        <w:spacing w:after="120"/>
        <w:ind w:left="1434" w:hanging="357"/>
        <w:rPr>
          <w:lang w:val="fr-CA"/>
        </w:rPr>
      </w:pPr>
      <w:r>
        <w:rPr>
          <w:lang w:val="fr-CA"/>
        </w:rPr>
        <w:t>des p</w:t>
      </w:r>
      <w:r w:rsidRPr="00683937">
        <w:rPr>
          <w:lang w:val="fr-CA"/>
        </w:rPr>
        <w:t>roblèmes de sécurité au travail, comme des fuites de liquide hydraulique résistant au feu, des pièces d’équipement dangereuses et des dangers pouvant provoquer une chute</w:t>
      </w:r>
    </w:p>
    <w:p w14:paraId="4E0FEB6A"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es écarts relatifs à d’autres dispositifs installés de protection de la sûreté, comme les mesures de protection contre les inondations, les contraintes sismiques et les composants non sécurisés qui pourraient être déplacés par inadvertance</w:t>
      </w:r>
    </w:p>
    <w:p w14:paraId="53C723BD" w14:textId="7D0E8083" w:rsidR="00E96362" w:rsidRPr="00683937" w:rsidRDefault="00E96362" w:rsidP="00E96362">
      <w:pPr>
        <w:pStyle w:val="BodyText"/>
        <w:rPr>
          <w:lang w:val="fr-CA"/>
        </w:rPr>
      </w:pPr>
      <w:r w:rsidRPr="00683937">
        <w:rPr>
          <w:lang w:val="fr-CA"/>
        </w:rPr>
        <w:t>Pour obtenir plus d’information, veuillez consulter le REGDOC</w:t>
      </w:r>
      <w:r w:rsidRPr="00683937">
        <w:rPr>
          <w:lang w:val="fr-CA"/>
        </w:rPr>
        <w:noBreakHyphen/>
        <w:t xml:space="preserve">2.6.2, </w:t>
      </w:r>
      <w:r w:rsidRPr="00683937">
        <w:rPr>
          <w:i/>
          <w:iCs/>
          <w:lang w:val="fr-CA"/>
        </w:rPr>
        <w:t>Programmes d’entretien des centrales nucléaires</w:t>
      </w:r>
      <w:r w:rsidRPr="00683937">
        <w:rPr>
          <w:lang w:val="fr-CA"/>
        </w:rPr>
        <w:t> [</w:t>
      </w:r>
      <w:r w:rsidR="00A0465B">
        <w:rPr>
          <w:lang w:val="fr-CA"/>
        </w:rPr>
        <w:t>20</w:t>
      </w:r>
      <w:r w:rsidRPr="00683937">
        <w:rPr>
          <w:lang w:val="fr-CA"/>
        </w:rPr>
        <w:t>].</w:t>
      </w:r>
    </w:p>
    <w:p w14:paraId="19B2E886" w14:textId="77777777" w:rsidR="00E96362" w:rsidRPr="00683937" w:rsidRDefault="00E96362" w:rsidP="00E96362">
      <w:pPr>
        <w:pStyle w:val="Heading4"/>
        <w:rPr>
          <w:lang w:val="fr-CA"/>
        </w:rPr>
      </w:pPr>
      <w:bookmarkStart w:id="149" w:name="_Toc126324282"/>
      <w:bookmarkStart w:id="150" w:name="_Toc140069036"/>
      <w:bookmarkStart w:id="151" w:name="_Toc152766311"/>
      <w:r w:rsidRPr="00683937">
        <w:rPr>
          <w:lang w:val="fr-CA"/>
        </w:rPr>
        <w:t>Programme de mise à l’essai de l’exploitabilité pour les systèmes importants pour la sûreté</w:t>
      </w:r>
      <w:bookmarkEnd w:id="149"/>
      <w:bookmarkEnd w:id="150"/>
      <w:bookmarkEnd w:id="151"/>
    </w:p>
    <w:p w14:paraId="7F8F0E81" w14:textId="77777777" w:rsidR="00E96362" w:rsidRPr="00683937" w:rsidRDefault="00E96362" w:rsidP="00E96362">
      <w:pPr>
        <w:pStyle w:val="HeadingRequirementsorGuidanceLabel"/>
        <w:rPr>
          <w:lang w:val="fr-CA"/>
        </w:rPr>
      </w:pPr>
      <w:bookmarkStart w:id="152" w:name="_Toc140069037"/>
      <w:r w:rsidRPr="00683937">
        <w:rPr>
          <w:lang w:val="fr-CA"/>
        </w:rPr>
        <w:t>Exigences</w:t>
      </w:r>
      <w:bookmarkEnd w:id="152"/>
    </w:p>
    <w:p w14:paraId="2E2C630D" w14:textId="77777777" w:rsidR="00E96362" w:rsidRPr="00683937" w:rsidRDefault="00E96362" w:rsidP="00E96362">
      <w:pPr>
        <w:pStyle w:val="BodyText"/>
        <w:keepNext/>
        <w:spacing w:after="0"/>
        <w:rPr>
          <w:lang w:val="fr-CA"/>
        </w:rPr>
      </w:pPr>
      <w:r w:rsidRPr="00683937">
        <w:rPr>
          <w:lang w:val="fr-CA"/>
        </w:rPr>
        <w:t>Le titulaire de permis doit élaborer et tenir à jour des dispositions sur la mise à l’essai de l’exploitabilité des systèmes importants pour la sûreté. Ces dispositions doivent faire état de ce qui suit :</w:t>
      </w:r>
    </w:p>
    <w:p w14:paraId="77E0AAAF"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exigences applicables aux essais de l’exploitabilité</w:t>
      </w:r>
    </w:p>
    <w:p w14:paraId="0100E7ED" w14:textId="60671E40" w:rsidR="00E96362" w:rsidRPr="00683937" w:rsidRDefault="00E96362" w:rsidP="00E96362">
      <w:pPr>
        <w:pStyle w:val="BulletList"/>
        <w:numPr>
          <w:ilvl w:val="0"/>
          <w:numId w:val="8"/>
        </w:numPr>
        <w:ind w:left="1080"/>
        <w:rPr>
          <w:lang w:val="fr-CA"/>
        </w:rPr>
      </w:pPr>
      <w:r>
        <w:rPr>
          <w:lang w:val="fr-CA"/>
        </w:rPr>
        <w:t>u</w:t>
      </w:r>
      <w:r w:rsidRPr="00683937">
        <w:rPr>
          <w:lang w:val="fr-CA"/>
        </w:rPr>
        <w:t>n processus pour déterminer si une pièce d’équipement est considérée comme en état de fonctionner</w:t>
      </w:r>
      <w:r w:rsidR="0003045D">
        <w:rPr>
          <w:lang w:val="fr-CA"/>
        </w:rPr>
        <w:t xml:space="preserve">, </w:t>
      </w:r>
      <w:r w:rsidR="00C97FE8">
        <w:rPr>
          <w:lang w:val="fr-CA"/>
        </w:rPr>
        <w:t>au moyen de critères d’acceptation ou de rejet clairs</w:t>
      </w:r>
    </w:p>
    <w:p w14:paraId="1ACE1563"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niveaux acceptables de déficience et des stratégies de gestion des déficiences (y compris des mesures et des délais d’intervention</w:t>
      </w:r>
      <w:r>
        <w:rPr>
          <w:lang w:val="fr-CA"/>
        </w:rPr>
        <w:t>)</w:t>
      </w:r>
    </w:p>
    <w:p w14:paraId="6F1749D6" w14:textId="77777777" w:rsidR="00E96362" w:rsidRPr="00683937" w:rsidRDefault="00E96362" w:rsidP="00E96362">
      <w:pPr>
        <w:pStyle w:val="BulletList"/>
        <w:numPr>
          <w:ilvl w:val="0"/>
          <w:numId w:val="8"/>
        </w:numPr>
        <w:ind w:left="1080"/>
        <w:rPr>
          <w:lang w:val="fr-CA"/>
        </w:rPr>
      </w:pPr>
      <w:r>
        <w:rPr>
          <w:lang w:val="fr-CA"/>
        </w:rPr>
        <w:t>d</w:t>
      </w:r>
      <w:r w:rsidRPr="00683937">
        <w:rPr>
          <w:lang w:val="fr-CA"/>
        </w:rPr>
        <w:t>es directives concernant les conditions dans lesquelles un essai ne peut être exécuté</w:t>
      </w:r>
    </w:p>
    <w:p w14:paraId="6B787809"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 personnel d’exploitation responsable de la conduite des essais</w:t>
      </w:r>
    </w:p>
    <w:p w14:paraId="07A1D90D"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 personnel accrédité devant approuver les essais effectués</w:t>
      </w:r>
    </w:p>
    <w:p w14:paraId="67106ADD" w14:textId="77777777" w:rsidR="00E96362" w:rsidRPr="00683937" w:rsidRDefault="00E96362" w:rsidP="00E96362">
      <w:pPr>
        <w:pStyle w:val="BodyText"/>
        <w:rPr>
          <w:lang w:val="fr-CA"/>
        </w:rPr>
      </w:pPr>
      <w:r w:rsidRPr="00683937">
        <w:rPr>
          <w:lang w:val="fr-CA"/>
        </w:rPr>
        <w:t xml:space="preserve">Le titulaire de permis doit veiller à ce que, s’il y a lieu, les résultats du programme de mise à l’essai soient communiqués au programme de fiabilité et à d’autres programmes applicables.  </w:t>
      </w:r>
    </w:p>
    <w:p w14:paraId="7BE08164" w14:textId="77777777" w:rsidR="00E96362" w:rsidRPr="00683937" w:rsidRDefault="00E96362" w:rsidP="00E96362">
      <w:pPr>
        <w:pStyle w:val="HeadingRequirementsorGuidanceLabel"/>
        <w:rPr>
          <w:lang w:val="fr-CA"/>
        </w:rPr>
      </w:pPr>
      <w:bookmarkStart w:id="153" w:name="_Toc140069038"/>
      <w:r w:rsidRPr="00683937">
        <w:rPr>
          <w:lang w:val="fr-CA"/>
        </w:rPr>
        <w:t>Orientation</w:t>
      </w:r>
      <w:bookmarkEnd w:id="153"/>
    </w:p>
    <w:p w14:paraId="6ED0C2C0" w14:textId="77777777" w:rsidR="00E96362" w:rsidRPr="00683937" w:rsidRDefault="00E96362" w:rsidP="00E96362">
      <w:pPr>
        <w:pStyle w:val="BodyText"/>
        <w:keepNext/>
        <w:spacing w:after="0"/>
        <w:rPr>
          <w:lang w:val="fr-CA"/>
        </w:rPr>
      </w:pPr>
      <w:r w:rsidRPr="00683937">
        <w:rPr>
          <w:lang w:val="fr-CA"/>
        </w:rPr>
        <w:t>Voici quelques exemples de dispositions sur la mise à l’essai de l’exploitabilité :</w:t>
      </w:r>
    </w:p>
    <w:p w14:paraId="59CC2F78" w14:textId="77777777" w:rsidR="00E96362" w:rsidRPr="00683937" w:rsidRDefault="00E96362" w:rsidP="00E96362">
      <w:pPr>
        <w:pStyle w:val="BulletList"/>
        <w:keepNext/>
        <w:numPr>
          <w:ilvl w:val="0"/>
          <w:numId w:val="8"/>
        </w:numPr>
        <w:ind w:left="1077" w:hanging="357"/>
        <w:rPr>
          <w:lang w:val="fr-CA"/>
        </w:rPr>
      </w:pPr>
      <w:r w:rsidRPr="00683937">
        <w:rPr>
          <w:lang w:val="fr-CA"/>
        </w:rPr>
        <w:t xml:space="preserve">Des arrangements sont en place afin de s’assurer que seuls des outils dûment testés, étalonnés et autorisés sont utilisés. </w:t>
      </w:r>
    </w:p>
    <w:p w14:paraId="0945E1D8" w14:textId="77777777" w:rsidR="00E96362" w:rsidRPr="00683937" w:rsidRDefault="00E96362" w:rsidP="00E96362">
      <w:pPr>
        <w:pStyle w:val="BulletList"/>
        <w:keepNext/>
        <w:numPr>
          <w:ilvl w:val="0"/>
          <w:numId w:val="8"/>
        </w:numPr>
        <w:ind w:left="1077" w:hanging="357"/>
        <w:rPr>
          <w:lang w:val="fr-CA"/>
        </w:rPr>
      </w:pPr>
      <w:r w:rsidRPr="00683937">
        <w:rPr>
          <w:lang w:val="fr-CA"/>
        </w:rPr>
        <w:t>L’examen du personnel d’exploitation prévoit un essai post-entretien au cours d’une étape de planification, et l’examen est effectué de nouveau par le personnel de la salle de commande avant le début de l’essai</w:t>
      </w:r>
      <w:r>
        <w:rPr>
          <w:lang w:val="fr-CA"/>
        </w:rPr>
        <w:t>.</w:t>
      </w:r>
    </w:p>
    <w:p w14:paraId="58F5C760" w14:textId="77777777" w:rsidR="00E96362" w:rsidRPr="00683937" w:rsidRDefault="00E96362" w:rsidP="00E96362">
      <w:pPr>
        <w:pStyle w:val="BulletListLastItem"/>
        <w:numPr>
          <w:ilvl w:val="0"/>
          <w:numId w:val="8"/>
        </w:numPr>
        <w:ind w:left="1080"/>
        <w:rPr>
          <w:lang w:val="fr-CA"/>
        </w:rPr>
      </w:pPr>
      <w:r w:rsidRPr="00683937">
        <w:rPr>
          <w:lang w:val="fr-CA"/>
        </w:rPr>
        <w:t xml:space="preserve">Des essais ponctuels sont effectués selon un processus officiel qui comprend des procédures étape par étape comme la situation l’exige dans le cas des essais courants. </w:t>
      </w:r>
    </w:p>
    <w:p w14:paraId="67EE98A5" w14:textId="77777777" w:rsidR="00E96362" w:rsidRPr="00683937" w:rsidRDefault="00E96362" w:rsidP="00E96362">
      <w:pPr>
        <w:pStyle w:val="Heading4"/>
        <w:rPr>
          <w:lang w:val="fr-CA"/>
        </w:rPr>
      </w:pPr>
      <w:bookmarkStart w:id="154" w:name="_Toc126324283"/>
      <w:bookmarkStart w:id="155" w:name="_Toc140069039"/>
      <w:bookmarkStart w:id="156" w:name="_Toc152766312"/>
      <w:r w:rsidRPr="00683937">
        <w:rPr>
          <w:lang w:val="fr-CA"/>
        </w:rPr>
        <w:t>Essais et développements peu fréquents et essentiels sur le plan de la sûreté</w:t>
      </w:r>
      <w:bookmarkEnd w:id="154"/>
      <w:bookmarkEnd w:id="155"/>
      <w:bookmarkEnd w:id="156"/>
    </w:p>
    <w:p w14:paraId="4762EBED" w14:textId="77777777" w:rsidR="00E96362" w:rsidRPr="00683937" w:rsidRDefault="00E96362" w:rsidP="00E96362">
      <w:pPr>
        <w:pStyle w:val="HeadingRequirementsorGuidanceLabel"/>
        <w:rPr>
          <w:lang w:val="fr-CA"/>
        </w:rPr>
      </w:pPr>
      <w:bookmarkStart w:id="157" w:name="_Toc140069040"/>
      <w:r w:rsidRPr="00683937">
        <w:rPr>
          <w:lang w:val="fr-CA"/>
        </w:rPr>
        <w:t>Exigences</w:t>
      </w:r>
      <w:bookmarkEnd w:id="157"/>
    </w:p>
    <w:p w14:paraId="3901B1D9" w14:textId="77777777" w:rsidR="00E96362" w:rsidRPr="00683937" w:rsidRDefault="00E96362" w:rsidP="00E96362">
      <w:pPr>
        <w:pStyle w:val="BodyText"/>
        <w:rPr>
          <w:lang w:val="fr-CA"/>
        </w:rPr>
      </w:pPr>
      <w:r w:rsidRPr="00683937">
        <w:rPr>
          <w:lang w:val="fr-CA"/>
        </w:rPr>
        <w:t>Le titulaire de permis doit établir et mettre en œuvre un processus de gestion des essais et développements peu fréquents (EDPF) et des essais et développements spécialement conçus qui sont susceptibles de détériorer fortement la sûreté nucléaire ou radiologique ou bien la sécurité du public ou du personnel s’ils sont exécutés incorrectement.</w:t>
      </w:r>
    </w:p>
    <w:p w14:paraId="1110A801" w14:textId="77777777" w:rsidR="00E96362" w:rsidRPr="00683937" w:rsidRDefault="00E96362" w:rsidP="00E96362">
      <w:pPr>
        <w:pStyle w:val="BodyText"/>
        <w:keepNext/>
        <w:spacing w:after="0"/>
        <w:rPr>
          <w:lang w:val="fr-CA"/>
        </w:rPr>
      </w:pPr>
      <w:r w:rsidRPr="00683937">
        <w:rPr>
          <w:lang w:val="fr-CA"/>
        </w:rPr>
        <w:t>Le titulaire de permis doit s’assurer que le processus et sa documentation de mise en œuvre font état de ce qui suit :</w:t>
      </w:r>
    </w:p>
    <w:p w14:paraId="4709DD7E"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évaluations requises</w:t>
      </w:r>
    </w:p>
    <w:p w14:paraId="60830E47"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pouvoirs, responsabilités et obligations spécifiques des travailleurs concernés</w:t>
      </w:r>
    </w:p>
    <w:p w14:paraId="1EC79C07"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procédures d’exécution des activités</w:t>
      </w:r>
    </w:p>
    <w:p w14:paraId="6AB97109"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 xml:space="preserve">es risques, les précautions et les mesures à prendre si un problème survient au cours de l’essai </w:t>
      </w:r>
    </w:p>
    <w:p w14:paraId="673264D2"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a formation applicable, l</w:t>
      </w:r>
      <w:r>
        <w:rPr>
          <w:lang w:val="fr-CA"/>
        </w:rPr>
        <w:t>es</w:t>
      </w:r>
      <w:r w:rsidRPr="00683937">
        <w:rPr>
          <w:lang w:val="fr-CA"/>
        </w:rPr>
        <w:t xml:space="preserve"> répétition</w:t>
      </w:r>
      <w:r>
        <w:rPr>
          <w:lang w:val="fr-CA"/>
        </w:rPr>
        <w:t>s</w:t>
      </w:r>
      <w:r w:rsidRPr="00683937">
        <w:rPr>
          <w:lang w:val="fr-CA"/>
        </w:rPr>
        <w:t>, le</w:t>
      </w:r>
      <w:r>
        <w:rPr>
          <w:lang w:val="fr-CA"/>
        </w:rPr>
        <w:t>s</w:t>
      </w:r>
      <w:r w:rsidRPr="00683937">
        <w:rPr>
          <w:lang w:val="fr-CA"/>
        </w:rPr>
        <w:t xml:space="preserve"> point</w:t>
      </w:r>
      <w:r>
        <w:rPr>
          <w:lang w:val="fr-CA"/>
        </w:rPr>
        <w:t>s</w:t>
      </w:r>
      <w:r w:rsidRPr="00683937">
        <w:rPr>
          <w:lang w:val="fr-CA"/>
        </w:rPr>
        <w:t xml:space="preserve"> d’arrêt et les critères de retour à la normale pour la suspension de l’essai ou du développement de l’installation lorsque survient une situation imprévue</w:t>
      </w:r>
    </w:p>
    <w:p w14:paraId="1352C47A"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a préparation, dont l’examen, l’approbation et les réunions de travail antérieures au développement</w:t>
      </w:r>
    </w:p>
    <w:p w14:paraId="69483D48"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es essais, les inspections et les réunions de travail postérieures aux activités</w:t>
      </w:r>
    </w:p>
    <w:p w14:paraId="1363DF81" w14:textId="7474609C" w:rsidR="00E96362" w:rsidRPr="00683937" w:rsidRDefault="00E96362" w:rsidP="00E96362">
      <w:pPr>
        <w:pStyle w:val="BodyText"/>
        <w:rPr>
          <w:lang w:val="fr-CA"/>
        </w:rPr>
      </w:pPr>
      <w:r w:rsidRPr="00683937">
        <w:rPr>
          <w:lang w:val="fr-CA"/>
        </w:rPr>
        <w:t xml:space="preserve">Le titulaire de permis doit s’assurer qu’aucune pièce d’équipement n’est utilisée d’une manière non conforme aux spécifications approuvées sans une justification, une préparation et une approbation adéquates. </w:t>
      </w:r>
      <w:r w:rsidR="00083AB6" w:rsidRPr="00683937">
        <w:rPr>
          <w:lang w:val="fr-CA"/>
        </w:rPr>
        <w:t xml:space="preserve">Si une activité ponctuelle doit être réalisée </w:t>
      </w:r>
      <w:r w:rsidR="00083AB6">
        <w:rPr>
          <w:lang w:val="fr-CA"/>
        </w:rPr>
        <w:t>qui n’est pas couverte par</w:t>
      </w:r>
      <w:r w:rsidR="00083AB6" w:rsidRPr="00683937">
        <w:rPr>
          <w:lang w:val="fr-CA"/>
        </w:rPr>
        <w:t xml:space="preserve"> les procédures d’exploitation existantes</w:t>
      </w:r>
      <w:r w:rsidRPr="00683937">
        <w:rPr>
          <w:lang w:val="fr-CA"/>
        </w:rPr>
        <w:t xml:space="preserve">, le titulaire de permis doit veiller à ce qu’un examen de </w:t>
      </w:r>
      <w:r>
        <w:rPr>
          <w:lang w:val="fr-CA"/>
        </w:rPr>
        <w:t xml:space="preserve">la </w:t>
      </w:r>
      <w:r w:rsidRPr="00683937">
        <w:rPr>
          <w:lang w:val="fr-CA"/>
        </w:rPr>
        <w:t>sûreté spécifique soit mené et à ce qu’une procédure spéciale soit élaborée (sous réserve des avis et approbations applicables).</w:t>
      </w:r>
    </w:p>
    <w:p w14:paraId="7982245D" w14:textId="77777777" w:rsidR="00E96362" w:rsidRPr="00683937" w:rsidRDefault="00E96362" w:rsidP="00E96362">
      <w:pPr>
        <w:pStyle w:val="HeadingRequirementsorGuidanceLabel"/>
        <w:rPr>
          <w:lang w:val="fr-CA"/>
        </w:rPr>
      </w:pPr>
      <w:bookmarkStart w:id="158" w:name="_Toc140069041"/>
      <w:r w:rsidRPr="00683937">
        <w:rPr>
          <w:lang w:val="fr-CA"/>
        </w:rPr>
        <w:t>Orientation</w:t>
      </w:r>
      <w:bookmarkEnd w:id="158"/>
    </w:p>
    <w:p w14:paraId="10B9EF16" w14:textId="77777777" w:rsidR="00E96362" w:rsidRPr="00683937" w:rsidRDefault="00E96362" w:rsidP="00E96362">
      <w:pPr>
        <w:pStyle w:val="BodyText"/>
        <w:rPr>
          <w:lang w:val="fr-CA"/>
        </w:rPr>
      </w:pPr>
      <w:r w:rsidRPr="00683937">
        <w:rPr>
          <w:lang w:val="fr-CA"/>
        </w:rPr>
        <w:t>Le gestionnaire des opérations devrait assurer une surveillance et demeurer au fait de l’état de l’installation au cours des essais spéciaux ou d</w:t>
      </w:r>
      <w:r>
        <w:rPr>
          <w:lang w:val="fr-CA"/>
        </w:rPr>
        <w:t xml:space="preserve">es </w:t>
      </w:r>
      <w:r w:rsidRPr="00683937">
        <w:rPr>
          <w:lang w:val="fr-CA"/>
        </w:rPr>
        <w:t>EDPF.</w:t>
      </w:r>
    </w:p>
    <w:p w14:paraId="4815D6AA" w14:textId="35148204" w:rsidR="00E96362" w:rsidRPr="00683937" w:rsidRDefault="00CF7F73" w:rsidP="00E96362">
      <w:pPr>
        <w:pStyle w:val="BodyText"/>
        <w:rPr>
          <w:lang w:val="fr-CA"/>
        </w:rPr>
      </w:pPr>
      <w:r w:rsidRPr="00B14D44">
        <w:rPr>
          <w:lang w:val="fr-CA"/>
        </w:rPr>
        <w:t>Le titulaire de permis devrait s’assurer que le processus comprend l’envoi d’avis à la CCSN au sujet des EDPF et des essais spéciaux prévus avant l’exécution des essais.</w:t>
      </w:r>
    </w:p>
    <w:p w14:paraId="08D91007" w14:textId="77777777" w:rsidR="00E96362" w:rsidRPr="00683937" w:rsidRDefault="00E96362" w:rsidP="00E96362">
      <w:pPr>
        <w:pStyle w:val="Heading2"/>
        <w:rPr>
          <w:lang w:val="fr-CA"/>
        </w:rPr>
      </w:pPr>
      <w:bookmarkStart w:id="159" w:name="_Toc126324284"/>
      <w:bookmarkStart w:id="160" w:name="_Toc140069042"/>
      <w:bookmarkStart w:id="161" w:name="_Toc140069138"/>
      <w:bookmarkStart w:id="162" w:name="_Toc140069181"/>
      <w:bookmarkStart w:id="163" w:name="_Toc152766313"/>
      <w:r w:rsidRPr="00683937">
        <w:rPr>
          <w:lang w:val="fr-CA"/>
        </w:rPr>
        <w:t>Gestion de la réactivité du cœur et du combustible</w:t>
      </w:r>
      <w:bookmarkEnd w:id="159"/>
      <w:bookmarkEnd w:id="160"/>
      <w:bookmarkEnd w:id="161"/>
      <w:bookmarkEnd w:id="162"/>
      <w:bookmarkEnd w:id="163"/>
    </w:p>
    <w:p w14:paraId="0A488EF9" w14:textId="77777777" w:rsidR="00E96362" w:rsidRPr="00683937" w:rsidRDefault="00E96362" w:rsidP="00E96362">
      <w:pPr>
        <w:pStyle w:val="Heading3"/>
        <w:rPr>
          <w:lang w:val="fr-CA"/>
        </w:rPr>
      </w:pPr>
      <w:bookmarkStart w:id="164" w:name="_Toc126324285"/>
      <w:bookmarkStart w:id="165" w:name="_Toc140069043"/>
      <w:bookmarkStart w:id="166" w:name="_Toc140069139"/>
      <w:bookmarkStart w:id="167" w:name="_Toc140069182"/>
      <w:bookmarkStart w:id="168" w:name="_Toc152766314"/>
      <w:r w:rsidRPr="00683937">
        <w:rPr>
          <w:lang w:val="fr-CA"/>
        </w:rPr>
        <w:t xml:space="preserve">Gestion de la réactivité du </w:t>
      </w:r>
      <w:bookmarkEnd w:id="164"/>
      <w:r w:rsidRPr="00683937">
        <w:rPr>
          <w:lang w:val="fr-CA"/>
        </w:rPr>
        <w:t>cœur</w:t>
      </w:r>
      <w:bookmarkEnd w:id="165"/>
      <w:bookmarkEnd w:id="166"/>
      <w:bookmarkEnd w:id="167"/>
      <w:bookmarkEnd w:id="168"/>
    </w:p>
    <w:p w14:paraId="1CA1A34D" w14:textId="77777777" w:rsidR="00E96362" w:rsidRPr="00683937" w:rsidRDefault="00E96362" w:rsidP="00E96362">
      <w:pPr>
        <w:pStyle w:val="HeadingRequirementsorGuidanceLabel"/>
        <w:rPr>
          <w:lang w:val="fr-CA"/>
        </w:rPr>
      </w:pPr>
      <w:bookmarkStart w:id="169" w:name="_Toc140069044"/>
      <w:r w:rsidRPr="00683937">
        <w:rPr>
          <w:lang w:val="fr-CA"/>
        </w:rPr>
        <w:t>Exigences</w:t>
      </w:r>
      <w:bookmarkEnd w:id="169"/>
    </w:p>
    <w:p w14:paraId="00028756" w14:textId="77777777" w:rsidR="00E96362" w:rsidRPr="00683937" w:rsidRDefault="00E96362" w:rsidP="00E96362">
      <w:pPr>
        <w:pStyle w:val="BodyText"/>
        <w:keepNext/>
        <w:spacing w:after="0"/>
        <w:rPr>
          <w:lang w:val="fr-CA"/>
        </w:rPr>
      </w:pPr>
      <w:r w:rsidRPr="00683937">
        <w:rPr>
          <w:lang w:val="fr-CA"/>
        </w:rPr>
        <w:t>Le titulaire de permis doit s’assurer que tous les développements de l’installation qui influent sur la réactivité sont contrôlés, sécuritaires et prudents de sorte que :</w:t>
      </w:r>
    </w:p>
    <w:p w14:paraId="7C0E90DB" w14:textId="77777777" w:rsidR="00E96362" w:rsidRPr="00683937" w:rsidRDefault="00E96362" w:rsidP="00E96362">
      <w:pPr>
        <w:pStyle w:val="BulletList"/>
        <w:keepNext/>
        <w:numPr>
          <w:ilvl w:val="0"/>
          <w:numId w:val="8"/>
        </w:numPr>
        <w:ind w:left="1077" w:hanging="357"/>
        <w:rPr>
          <w:lang w:val="fr-CA"/>
        </w:rPr>
      </w:pPr>
      <w:r w:rsidRPr="00683937">
        <w:rPr>
          <w:lang w:val="fr-CA"/>
        </w:rPr>
        <w:t xml:space="preserve">l’installation continue de respecter le fondement d’autorisation </w:t>
      </w:r>
    </w:p>
    <w:p w14:paraId="55D81E9D" w14:textId="77777777" w:rsidR="00E96362" w:rsidRPr="00683937" w:rsidRDefault="00E96362" w:rsidP="00E96362">
      <w:pPr>
        <w:pStyle w:val="BulletListLastItem"/>
        <w:numPr>
          <w:ilvl w:val="0"/>
          <w:numId w:val="8"/>
        </w:numPr>
        <w:ind w:left="1080"/>
        <w:rPr>
          <w:lang w:val="fr-CA"/>
        </w:rPr>
      </w:pPr>
      <w:r w:rsidRPr="00683937">
        <w:rPr>
          <w:lang w:val="fr-CA"/>
        </w:rPr>
        <w:t>l’optimisation de l’utilisation du combustible et la souplesse de l’exploitation du cœur ne compromettent pas la sûreté</w:t>
      </w:r>
    </w:p>
    <w:p w14:paraId="5F1B5ACE" w14:textId="77777777" w:rsidR="00E96362" w:rsidRPr="00683937" w:rsidRDefault="00E96362" w:rsidP="00E96362">
      <w:pPr>
        <w:pStyle w:val="BodyText"/>
        <w:keepNext/>
        <w:spacing w:after="0"/>
        <w:rPr>
          <w:lang w:val="fr-CA"/>
        </w:rPr>
      </w:pPr>
      <w:r w:rsidRPr="00683937">
        <w:rPr>
          <w:lang w:val="fr-CA"/>
        </w:rPr>
        <w:t>Le titulaire de permis doit établir des mesures de gestion de la réactivité pour s’assurer que :</w:t>
      </w:r>
    </w:p>
    <w:p w14:paraId="37776EA6" w14:textId="77777777" w:rsidR="00E96362" w:rsidRPr="00683937" w:rsidRDefault="00E96362" w:rsidP="00E96362">
      <w:pPr>
        <w:pStyle w:val="BulletList"/>
        <w:keepNext/>
        <w:numPr>
          <w:ilvl w:val="0"/>
          <w:numId w:val="8"/>
        </w:numPr>
        <w:ind w:left="1077" w:hanging="357"/>
        <w:rPr>
          <w:lang w:val="fr-CA"/>
        </w:rPr>
      </w:pPr>
      <w:r w:rsidRPr="00683937">
        <w:rPr>
          <w:lang w:val="fr-CA"/>
        </w:rPr>
        <w:t>les paramètres du cœur sont surveillés, analysés afin de dégager des tendances et évalués de sorte à détecter tout comportement anormal</w:t>
      </w:r>
    </w:p>
    <w:p w14:paraId="7BDC99A9" w14:textId="77777777" w:rsidR="00E96362" w:rsidRPr="00683937" w:rsidRDefault="00E96362" w:rsidP="00E96362">
      <w:pPr>
        <w:pStyle w:val="BulletListLastItem"/>
        <w:numPr>
          <w:ilvl w:val="0"/>
          <w:numId w:val="8"/>
        </w:numPr>
        <w:ind w:left="1080"/>
        <w:rPr>
          <w:lang w:val="fr-CA"/>
        </w:rPr>
      </w:pPr>
      <w:r w:rsidRPr="00683937">
        <w:rPr>
          <w:lang w:val="fr-CA"/>
        </w:rPr>
        <w:t>le rendement réel du cœur est en phase avec les exigences de conception du cœur</w:t>
      </w:r>
    </w:p>
    <w:p w14:paraId="58FFF3E9" w14:textId="77777777" w:rsidR="00E96362" w:rsidRPr="00683937" w:rsidRDefault="00E96362" w:rsidP="00E96362">
      <w:pPr>
        <w:pStyle w:val="BodyText"/>
        <w:rPr>
          <w:lang w:val="fr-CA"/>
        </w:rPr>
      </w:pPr>
      <w:r w:rsidRPr="00683937">
        <w:rPr>
          <w:lang w:val="fr-CA"/>
        </w:rPr>
        <w:t>Le titulaire de permis doit s’assurer que les valeurs des paramètres d’exploitation clés sont enregistrées et conservées.</w:t>
      </w:r>
    </w:p>
    <w:p w14:paraId="6E3D13DF" w14:textId="77777777" w:rsidR="00E96362" w:rsidRPr="00683937" w:rsidRDefault="00E96362" w:rsidP="00E96362">
      <w:pPr>
        <w:pStyle w:val="HeadingRequirementsorGuidanceLabel"/>
        <w:rPr>
          <w:lang w:val="fr-CA"/>
        </w:rPr>
      </w:pPr>
      <w:bookmarkStart w:id="170" w:name="_Toc140069045"/>
      <w:r w:rsidRPr="00683937">
        <w:rPr>
          <w:lang w:val="fr-CA"/>
        </w:rPr>
        <w:t>Orientation</w:t>
      </w:r>
      <w:bookmarkEnd w:id="170"/>
    </w:p>
    <w:p w14:paraId="3830573C" w14:textId="77777777" w:rsidR="00E96362" w:rsidRPr="00683937" w:rsidRDefault="00E96362" w:rsidP="00E96362">
      <w:pPr>
        <w:pStyle w:val="BodyText"/>
        <w:keepNext/>
        <w:spacing w:after="0"/>
        <w:rPr>
          <w:lang w:val="fr-CA"/>
        </w:rPr>
      </w:pPr>
      <w:r w:rsidRPr="00683937">
        <w:rPr>
          <w:lang w:val="fr-CA"/>
        </w:rPr>
        <w:t>Les mesures relatives à la réactivité du cœur devraient comprendre (entre autres) des procédures et des méthodes d’ingénierie qui permettent d’assurer :</w:t>
      </w:r>
    </w:p>
    <w:p w14:paraId="318F7123" w14:textId="77777777" w:rsidR="00E96362" w:rsidRPr="00683937" w:rsidRDefault="00E96362" w:rsidP="00E96362">
      <w:pPr>
        <w:pStyle w:val="BulletList"/>
        <w:keepNext/>
        <w:numPr>
          <w:ilvl w:val="0"/>
          <w:numId w:val="8"/>
        </w:numPr>
        <w:ind w:left="1077" w:hanging="357"/>
        <w:rPr>
          <w:lang w:val="fr-CA"/>
        </w:rPr>
      </w:pPr>
      <w:r w:rsidRPr="00683937">
        <w:rPr>
          <w:lang w:val="fr-CA"/>
        </w:rPr>
        <w:t>une marge d’arrêt s</w:t>
      </w:r>
      <w:r>
        <w:rPr>
          <w:lang w:val="fr-CA"/>
        </w:rPr>
        <w:t>ûre</w:t>
      </w:r>
      <w:r w:rsidRPr="00683937">
        <w:rPr>
          <w:lang w:val="fr-CA"/>
        </w:rPr>
        <w:t xml:space="preserve"> </w:t>
      </w:r>
    </w:p>
    <w:p w14:paraId="66F42B79" w14:textId="77777777" w:rsidR="00E96362" w:rsidRPr="00683937" w:rsidRDefault="00E96362" w:rsidP="00E96362">
      <w:pPr>
        <w:pStyle w:val="BulletList"/>
        <w:numPr>
          <w:ilvl w:val="0"/>
          <w:numId w:val="8"/>
        </w:numPr>
        <w:ind w:left="1080"/>
        <w:rPr>
          <w:lang w:val="fr-CA"/>
        </w:rPr>
      </w:pPr>
      <w:r w:rsidRPr="00683937">
        <w:rPr>
          <w:lang w:val="fr-CA"/>
        </w:rPr>
        <w:t>une exploitation cadrant avec les hypothèses de l’analyse de la sûreté</w:t>
      </w:r>
    </w:p>
    <w:p w14:paraId="4034A00B" w14:textId="77777777" w:rsidR="00E96362" w:rsidRPr="00683937" w:rsidRDefault="00E96362" w:rsidP="00E96362">
      <w:pPr>
        <w:pStyle w:val="BulletList"/>
        <w:numPr>
          <w:ilvl w:val="0"/>
          <w:numId w:val="8"/>
        </w:numPr>
        <w:ind w:left="1080"/>
        <w:rPr>
          <w:lang w:val="fr-CA"/>
        </w:rPr>
      </w:pPr>
      <w:r w:rsidRPr="00683937">
        <w:rPr>
          <w:lang w:val="fr-CA"/>
        </w:rPr>
        <w:t>le respect des politiques, principes et procédures d’exploitation, ainsi que du fondement d’autorisation</w:t>
      </w:r>
    </w:p>
    <w:p w14:paraId="3DEC8CBB" w14:textId="77777777" w:rsidR="00E96362" w:rsidRPr="00683937" w:rsidRDefault="00E96362" w:rsidP="00E96362">
      <w:pPr>
        <w:pStyle w:val="BulletList"/>
        <w:numPr>
          <w:ilvl w:val="0"/>
          <w:numId w:val="8"/>
        </w:numPr>
        <w:ind w:left="1080"/>
        <w:rPr>
          <w:lang w:val="fr-CA"/>
        </w:rPr>
      </w:pPr>
      <w:r w:rsidRPr="00683937">
        <w:rPr>
          <w:lang w:val="fr-CA"/>
        </w:rPr>
        <w:t>la réduction des difficultés liées au système d’arrêt du réacteur</w:t>
      </w:r>
    </w:p>
    <w:p w14:paraId="36DFA765" w14:textId="77777777" w:rsidR="00E96362" w:rsidRPr="00683937" w:rsidRDefault="00E96362" w:rsidP="00E96362">
      <w:pPr>
        <w:pStyle w:val="BulletList"/>
        <w:keepNext/>
        <w:numPr>
          <w:ilvl w:val="0"/>
          <w:numId w:val="8"/>
        </w:numPr>
        <w:ind w:left="1077" w:hanging="357"/>
        <w:rPr>
          <w:lang w:val="fr-CA"/>
        </w:rPr>
      </w:pPr>
      <w:r w:rsidRPr="00683937">
        <w:rPr>
          <w:lang w:val="fr-CA"/>
        </w:rPr>
        <w:t>des distributions des puissances du cœur acceptables</w:t>
      </w:r>
    </w:p>
    <w:p w14:paraId="3D258FC7" w14:textId="77777777" w:rsidR="00E96362" w:rsidRPr="00683937" w:rsidRDefault="00E96362" w:rsidP="00E96362">
      <w:pPr>
        <w:pStyle w:val="BulletListLastItem"/>
        <w:numPr>
          <w:ilvl w:val="0"/>
          <w:numId w:val="8"/>
        </w:numPr>
        <w:ind w:left="1080"/>
        <w:rPr>
          <w:lang w:val="fr-CA"/>
        </w:rPr>
      </w:pPr>
      <w:r w:rsidRPr="00683937">
        <w:rPr>
          <w:lang w:val="fr-CA"/>
        </w:rPr>
        <w:t>une exploitation cadrant avec les limites de conception du combustible (afin d’assurer l’intégrité de ce dernier)</w:t>
      </w:r>
    </w:p>
    <w:p w14:paraId="6509A713" w14:textId="77777777" w:rsidR="00E96362" w:rsidRPr="00683937" w:rsidRDefault="00E96362" w:rsidP="00E96362">
      <w:pPr>
        <w:pStyle w:val="Heading3"/>
        <w:rPr>
          <w:lang w:val="fr-CA"/>
        </w:rPr>
      </w:pPr>
      <w:bookmarkStart w:id="171" w:name="_Toc126324286"/>
      <w:bookmarkStart w:id="172" w:name="_Toc140069046"/>
      <w:bookmarkStart w:id="173" w:name="_Toc140069140"/>
      <w:bookmarkStart w:id="174" w:name="_Toc140069183"/>
      <w:bookmarkStart w:id="175" w:name="_Toc152766315"/>
      <w:r w:rsidRPr="00683937">
        <w:rPr>
          <w:lang w:val="fr-CA"/>
        </w:rPr>
        <w:t>Gestion du combustible</w:t>
      </w:r>
      <w:bookmarkEnd w:id="171"/>
      <w:bookmarkEnd w:id="172"/>
      <w:bookmarkEnd w:id="173"/>
      <w:bookmarkEnd w:id="174"/>
      <w:bookmarkEnd w:id="175"/>
    </w:p>
    <w:p w14:paraId="3E5B5F51" w14:textId="77777777" w:rsidR="00E96362" w:rsidRPr="00683937" w:rsidRDefault="00E96362" w:rsidP="00E96362">
      <w:pPr>
        <w:pStyle w:val="HeadingRequirementsorGuidanceLabel"/>
        <w:rPr>
          <w:lang w:val="fr-CA"/>
        </w:rPr>
      </w:pPr>
      <w:bookmarkStart w:id="176" w:name="_Toc140069047"/>
      <w:r w:rsidRPr="00683937">
        <w:rPr>
          <w:lang w:val="fr-CA"/>
        </w:rPr>
        <w:t>Exigences</w:t>
      </w:r>
      <w:bookmarkEnd w:id="176"/>
    </w:p>
    <w:p w14:paraId="526470FB" w14:textId="77777777" w:rsidR="00E96362" w:rsidRPr="00683937" w:rsidRDefault="00E96362" w:rsidP="00E96362">
      <w:pPr>
        <w:pStyle w:val="BodyText"/>
        <w:keepNext/>
        <w:spacing w:after="0"/>
        <w:rPr>
          <w:lang w:val="fr-CA"/>
        </w:rPr>
      </w:pPr>
      <w:r w:rsidRPr="00683937">
        <w:rPr>
          <w:lang w:val="fr-CA"/>
        </w:rPr>
        <w:t>Le titulaire de permis doit appliquer des spécifications de combustible et des procédures pour les tâches suivantes relatives à la gestion du combustible :</w:t>
      </w:r>
    </w:p>
    <w:p w14:paraId="724F1CC1" w14:textId="77777777" w:rsidR="00E96362" w:rsidRPr="00683937" w:rsidRDefault="00E96362" w:rsidP="00E96362">
      <w:pPr>
        <w:pStyle w:val="BulletList"/>
        <w:keepNext/>
        <w:numPr>
          <w:ilvl w:val="0"/>
          <w:numId w:val="8"/>
        </w:numPr>
        <w:ind w:left="1077" w:hanging="357"/>
        <w:rPr>
          <w:lang w:val="fr-CA"/>
        </w:rPr>
      </w:pPr>
      <w:r>
        <w:rPr>
          <w:lang w:val="fr-CA"/>
        </w:rPr>
        <w:t>a</w:t>
      </w:r>
      <w:r w:rsidRPr="00683937">
        <w:rPr>
          <w:lang w:val="fr-CA"/>
        </w:rPr>
        <w:t>pprovisionnement, vérification, réception, comptabilité et contrôle</w:t>
      </w:r>
    </w:p>
    <w:p w14:paraId="600F1491" w14:textId="77777777" w:rsidR="00E96362" w:rsidRPr="00683937" w:rsidRDefault="00E96362" w:rsidP="00E96362">
      <w:pPr>
        <w:pStyle w:val="BulletList"/>
        <w:numPr>
          <w:ilvl w:val="0"/>
          <w:numId w:val="8"/>
        </w:numPr>
        <w:ind w:left="1080"/>
        <w:rPr>
          <w:lang w:val="fr-CA"/>
        </w:rPr>
      </w:pPr>
      <w:r>
        <w:rPr>
          <w:lang w:val="fr-CA"/>
        </w:rPr>
        <w:t>e</w:t>
      </w:r>
      <w:r w:rsidRPr="00683937">
        <w:rPr>
          <w:lang w:val="fr-CA"/>
        </w:rPr>
        <w:t>ntreposage dans une configuration sous-critique</w:t>
      </w:r>
    </w:p>
    <w:p w14:paraId="3D94F3A4" w14:textId="77777777" w:rsidR="00E96362" w:rsidRPr="00683937" w:rsidRDefault="00E96362" w:rsidP="00E96362">
      <w:pPr>
        <w:pStyle w:val="BulletList"/>
        <w:keepNext/>
        <w:numPr>
          <w:ilvl w:val="0"/>
          <w:numId w:val="8"/>
        </w:numPr>
        <w:ind w:left="1077" w:hanging="357"/>
        <w:rPr>
          <w:lang w:val="fr-CA"/>
        </w:rPr>
      </w:pPr>
      <w:r>
        <w:rPr>
          <w:lang w:val="fr-CA"/>
        </w:rPr>
        <w:t>c</w:t>
      </w:r>
      <w:r w:rsidRPr="00683937">
        <w:rPr>
          <w:lang w:val="fr-CA"/>
        </w:rPr>
        <w:t>hargement, utilisation et transport</w:t>
      </w:r>
    </w:p>
    <w:p w14:paraId="1653A2D0" w14:textId="77777777" w:rsidR="00E96362" w:rsidRPr="00683937" w:rsidRDefault="00E96362" w:rsidP="00E96362">
      <w:pPr>
        <w:pStyle w:val="BulletListLastItem"/>
        <w:numPr>
          <w:ilvl w:val="0"/>
          <w:numId w:val="8"/>
        </w:numPr>
        <w:ind w:left="1080"/>
        <w:rPr>
          <w:lang w:val="fr-CA"/>
        </w:rPr>
      </w:pPr>
      <w:r>
        <w:rPr>
          <w:lang w:val="fr-CA"/>
        </w:rPr>
        <w:t>c</w:t>
      </w:r>
      <w:r w:rsidRPr="00683937">
        <w:rPr>
          <w:lang w:val="fr-CA"/>
        </w:rPr>
        <w:t>ontrôle des écarts par rapport aux procédures</w:t>
      </w:r>
    </w:p>
    <w:p w14:paraId="2199BCF0" w14:textId="77777777" w:rsidR="00E96362" w:rsidRPr="00683937" w:rsidRDefault="00E96362" w:rsidP="00E96362">
      <w:pPr>
        <w:pStyle w:val="HeadingRequirementsorGuidanceLabel"/>
        <w:rPr>
          <w:lang w:val="fr-CA"/>
        </w:rPr>
      </w:pPr>
      <w:bookmarkStart w:id="177" w:name="_Toc140069048"/>
      <w:r w:rsidRPr="00683937">
        <w:rPr>
          <w:lang w:val="fr-CA"/>
        </w:rPr>
        <w:t>Orientation</w:t>
      </w:r>
      <w:bookmarkEnd w:id="177"/>
    </w:p>
    <w:p w14:paraId="21F1FF95" w14:textId="4FF1F36F" w:rsidR="00E96362" w:rsidRPr="00683937" w:rsidRDefault="00E96362" w:rsidP="00E96362">
      <w:pPr>
        <w:pStyle w:val="BodyText"/>
        <w:rPr>
          <w:lang w:val="fr-CA"/>
        </w:rPr>
      </w:pPr>
      <w:r w:rsidRPr="00683937">
        <w:rPr>
          <w:lang w:val="fr-CA"/>
        </w:rPr>
        <w:t>Pour obtenir de l’information sur la qualification du combustible, veuillez consulter le REGDOC</w:t>
      </w:r>
      <w:r w:rsidRPr="00683937">
        <w:rPr>
          <w:lang w:val="fr-CA"/>
        </w:rPr>
        <w:noBreakHyphen/>
        <w:t xml:space="preserve">2.4.5, </w:t>
      </w:r>
      <w:r w:rsidRPr="00683937">
        <w:rPr>
          <w:i/>
          <w:iCs/>
          <w:lang w:val="fr-CA"/>
        </w:rPr>
        <w:t>Sûreté du combustible nucléaire</w:t>
      </w:r>
      <w:r w:rsidRPr="00683937">
        <w:rPr>
          <w:lang w:val="fr-CA"/>
        </w:rPr>
        <w:t> [2</w:t>
      </w:r>
      <w:r w:rsidR="003F5908">
        <w:rPr>
          <w:lang w:val="fr-CA"/>
        </w:rPr>
        <w:t>6</w:t>
      </w:r>
      <w:r w:rsidRPr="00683937">
        <w:rPr>
          <w:lang w:val="fr-CA"/>
        </w:rPr>
        <w:t>].</w:t>
      </w:r>
    </w:p>
    <w:p w14:paraId="5BE6BA0A" w14:textId="77777777" w:rsidR="00E96362" w:rsidRPr="00683937" w:rsidRDefault="00E96362" w:rsidP="00E96362">
      <w:pPr>
        <w:pStyle w:val="Heading3"/>
        <w:rPr>
          <w:lang w:val="fr-CA"/>
        </w:rPr>
      </w:pPr>
      <w:bookmarkStart w:id="178" w:name="_Toc126324287"/>
      <w:bookmarkStart w:id="179" w:name="_Toc140069049"/>
      <w:bookmarkStart w:id="180" w:name="_Toc140069141"/>
      <w:bookmarkStart w:id="181" w:name="_Toc140069184"/>
      <w:bookmarkStart w:id="182" w:name="_Toc152766316"/>
      <w:r w:rsidRPr="00683937">
        <w:rPr>
          <w:lang w:val="fr-CA"/>
        </w:rPr>
        <w:t>Manutention du combustible et des composants du cœur</w:t>
      </w:r>
      <w:bookmarkEnd w:id="178"/>
      <w:bookmarkEnd w:id="179"/>
      <w:bookmarkEnd w:id="180"/>
      <w:bookmarkEnd w:id="181"/>
      <w:bookmarkEnd w:id="182"/>
    </w:p>
    <w:p w14:paraId="3D7BF357" w14:textId="77777777" w:rsidR="00E96362" w:rsidRPr="00683937" w:rsidRDefault="00E96362" w:rsidP="00E96362">
      <w:pPr>
        <w:pStyle w:val="HeadingRequirementsorGuidanceLabel"/>
        <w:rPr>
          <w:lang w:val="fr-CA"/>
        </w:rPr>
      </w:pPr>
      <w:bookmarkStart w:id="183" w:name="_Toc140069050"/>
      <w:r w:rsidRPr="00683937">
        <w:rPr>
          <w:lang w:val="fr-CA"/>
        </w:rPr>
        <w:t>Exigences</w:t>
      </w:r>
      <w:bookmarkEnd w:id="183"/>
    </w:p>
    <w:p w14:paraId="5733250C" w14:textId="77777777" w:rsidR="00E96362" w:rsidRPr="00683937" w:rsidRDefault="00E96362" w:rsidP="00E96362">
      <w:pPr>
        <w:pStyle w:val="BodyText"/>
        <w:keepNext/>
        <w:spacing w:after="0"/>
        <w:rPr>
          <w:lang w:val="fr-CA"/>
        </w:rPr>
      </w:pPr>
      <w:r w:rsidRPr="00683937">
        <w:rPr>
          <w:lang w:val="fr-CA"/>
        </w:rPr>
        <w:t>Le titulaire de permis doit établir des procédures de manutention du combustible pour assurer :</w:t>
      </w:r>
    </w:p>
    <w:p w14:paraId="60213265" w14:textId="77777777" w:rsidR="00E96362" w:rsidRPr="00683937" w:rsidRDefault="00E96362" w:rsidP="00E96362">
      <w:pPr>
        <w:pStyle w:val="BulletList"/>
        <w:keepNext/>
        <w:numPr>
          <w:ilvl w:val="0"/>
          <w:numId w:val="8"/>
        </w:numPr>
        <w:ind w:left="1077" w:hanging="357"/>
        <w:rPr>
          <w:lang w:val="fr-CA"/>
        </w:rPr>
      </w:pPr>
      <w:r w:rsidRPr="00683937">
        <w:rPr>
          <w:lang w:val="fr-CA"/>
        </w:rPr>
        <w:t>le déplacement contrôlé du combustible usé et non usé et des composants du cœur</w:t>
      </w:r>
    </w:p>
    <w:p w14:paraId="74974240" w14:textId="77777777" w:rsidR="00E96362" w:rsidRPr="00683937" w:rsidRDefault="00E96362" w:rsidP="00E96362">
      <w:pPr>
        <w:pStyle w:val="BulletList"/>
        <w:keepNext/>
        <w:numPr>
          <w:ilvl w:val="0"/>
          <w:numId w:val="8"/>
        </w:numPr>
        <w:ind w:left="1077" w:hanging="357"/>
        <w:rPr>
          <w:lang w:val="fr-CA"/>
        </w:rPr>
      </w:pPr>
      <w:r w:rsidRPr="00683937">
        <w:rPr>
          <w:lang w:val="fr-CA"/>
        </w:rPr>
        <w:t>un entreposage adéquat sur le site</w:t>
      </w:r>
    </w:p>
    <w:p w14:paraId="69D5913A" w14:textId="77777777" w:rsidR="00E96362" w:rsidRPr="00683937" w:rsidRDefault="00E96362" w:rsidP="00E96362">
      <w:pPr>
        <w:pStyle w:val="BulletListLastItem"/>
        <w:numPr>
          <w:ilvl w:val="0"/>
          <w:numId w:val="8"/>
        </w:numPr>
        <w:ind w:left="1080"/>
        <w:rPr>
          <w:lang w:val="fr-CA"/>
        </w:rPr>
      </w:pPr>
      <w:r w:rsidRPr="00683937">
        <w:rPr>
          <w:lang w:val="fr-CA"/>
        </w:rPr>
        <w:t>la préparation du transport depuis le site</w:t>
      </w:r>
    </w:p>
    <w:p w14:paraId="41314133" w14:textId="77777777" w:rsidR="00E96362" w:rsidRPr="00683937" w:rsidRDefault="00E96362" w:rsidP="00E96362">
      <w:pPr>
        <w:pStyle w:val="HeadingRequirementsorGuidanceLabel"/>
        <w:rPr>
          <w:lang w:val="fr-CA"/>
        </w:rPr>
      </w:pPr>
      <w:bookmarkStart w:id="184" w:name="_Toc140069051"/>
      <w:r w:rsidRPr="00683937">
        <w:rPr>
          <w:lang w:val="fr-CA"/>
        </w:rPr>
        <w:t>Orientation</w:t>
      </w:r>
      <w:bookmarkEnd w:id="184"/>
    </w:p>
    <w:p w14:paraId="199F2748" w14:textId="77777777" w:rsidR="00E96362" w:rsidRPr="00683937" w:rsidRDefault="00E96362" w:rsidP="00E96362">
      <w:pPr>
        <w:pStyle w:val="BodyText"/>
        <w:keepNext/>
        <w:spacing w:after="0"/>
        <w:rPr>
          <w:lang w:val="fr-CA"/>
        </w:rPr>
      </w:pPr>
      <w:r w:rsidRPr="00683937">
        <w:rPr>
          <w:lang w:val="fr-CA"/>
        </w:rPr>
        <w:t>Le titulaire de permis devrait s’assurer de ce qui suit :</w:t>
      </w:r>
    </w:p>
    <w:p w14:paraId="09B2C243" w14:textId="77777777" w:rsidR="00E96362" w:rsidRPr="00683937" w:rsidRDefault="00E96362" w:rsidP="00E96362">
      <w:pPr>
        <w:pStyle w:val="BulletList"/>
        <w:keepNext/>
        <w:numPr>
          <w:ilvl w:val="0"/>
          <w:numId w:val="8"/>
        </w:numPr>
        <w:ind w:left="1077" w:hanging="357"/>
        <w:rPr>
          <w:lang w:val="fr-CA"/>
        </w:rPr>
      </w:pPr>
      <w:r w:rsidRPr="00683937">
        <w:rPr>
          <w:lang w:val="fr-CA"/>
        </w:rPr>
        <w:t>Lorsque du combustible est déplacé depuis une zone d’entreposage, il est identifié et vérifié par rapport au programme approuvé de rechargement du combustible</w:t>
      </w:r>
      <w:r>
        <w:rPr>
          <w:lang w:val="fr-CA"/>
        </w:rPr>
        <w:t>.</w:t>
      </w:r>
    </w:p>
    <w:p w14:paraId="29D3344C" w14:textId="77777777" w:rsidR="00E96362" w:rsidRPr="00683937" w:rsidRDefault="00E96362" w:rsidP="00E96362">
      <w:pPr>
        <w:pStyle w:val="BulletList"/>
        <w:numPr>
          <w:ilvl w:val="0"/>
          <w:numId w:val="8"/>
        </w:numPr>
        <w:ind w:left="1080"/>
        <w:rPr>
          <w:lang w:val="fr-CA"/>
        </w:rPr>
      </w:pPr>
      <w:r w:rsidRPr="00683937">
        <w:rPr>
          <w:lang w:val="fr-CA"/>
        </w:rPr>
        <w:t>Des arrangements sont en place pour s’assurer que le combustible a été chargé dans la position indiquée dans le cœur et correctement positionné</w:t>
      </w:r>
      <w:r>
        <w:rPr>
          <w:lang w:val="fr-CA"/>
        </w:rPr>
        <w:t>.</w:t>
      </w:r>
    </w:p>
    <w:p w14:paraId="268A04AE" w14:textId="77777777" w:rsidR="00E96362" w:rsidRPr="00683937" w:rsidRDefault="00E96362" w:rsidP="00E96362">
      <w:pPr>
        <w:pStyle w:val="BulletList"/>
        <w:keepNext/>
        <w:numPr>
          <w:ilvl w:val="0"/>
          <w:numId w:val="8"/>
        </w:numPr>
        <w:ind w:left="1077" w:hanging="357"/>
        <w:rPr>
          <w:lang w:val="fr-CA"/>
        </w:rPr>
      </w:pPr>
      <w:r w:rsidRPr="00683937">
        <w:rPr>
          <w:lang w:val="fr-CA"/>
        </w:rPr>
        <w:t>L’équipement servant au déplacement du combustible usé a été qualifié et testé avant d’être utilisé</w:t>
      </w:r>
      <w:r>
        <w:rPr>
          <w:lang w:val="fr-CA"/>
        </w:rPr>
        <w:t>.</w:t>
      </w:r>
    </w:p>
    <w:p w14:paraId="17E23C1D" w14:textId="77777777" w:rsidR="00E96362" w:rsidRPr="00683937" w:rsidRDefault="00E96362" w:rsidP="00E96362">
      <w:pPr>
        <w:pStyle w:val="BulletListLastItem"/>
        <w:numPr>
          <w:ilvl w:val="0"/>
          <w:numId w:val="8"/>
        </w:numPr>
        <w:ind w:left="1080"/>
        <w:rPr>
          <w:lang w:val="fr-CA"/>
        </w:rPr>
      </w:pPr>
      <w:r w:rsidRPr="00683937">
        <w:rPr>
          <w:lang w:val="fr-CA"/>
        </w:rPr>
        <w:t xml:space="preserve">Un système est en place pour tenir compte du stock de nucléides et de la chaleur de désintégration du combustible usé. </w:t>
      </w:r>
    </w:p>
    <w:p w14:paraId="5D28E127" w14:textId="77777777" w:rsidR="00E96362" w:rsidRPr="00683937" w:rsidRDefault="00E96362" w:rsidP="00E96362">
      <w:pPr>
        <w:pStyle w:val="Heading3"/>
        <w:rPr>
          <w:lang w:val="fr-CA"/>
        </w:rPr>
      </w:pPr>
      <w:bookmarkStart w:id="185" w:name="_Toc126324288"/>
      <w:bookmarkStart w:id="186" w:name="_Toc140069052"/>
      <w:bookmarkStart w:id="187" w:name="_Toc140069142"/>
      <w:bookmarkStart w:id="188" w:name="_Toc140069185"/>
      <w:bookmarkStart w:id="189" w:name="_Toc152766317"/>
      <w:r w:rsidRPr="00683937">
        <w:rPr>
          <w:lang w:val="fr-CA"/>
        </w:rPr>
        <w:t>Intégrité du combustible</w:t>
      </w:r>
      <w:bookmarkEnd w:id="185"/>
      <w:bookmarkEnd w:id="186"/>
      <w:bookmarkEnd w:id="187"/>
      <w:bookmarkEnd w:id="188"/>
      <w:bookmarkEnd w:id="189"/>
    </w:p>
    <w:p w14:paraId="04526CFD" w14:textId="77777777" w:rsidR="00E96362" w:rsidRPr="00683937" w:rsidRDefault="00E96362" w:rsidP="00E96362">
      <w:pPr>
        <w:pStyle w:val="HeadingRequirementsorGuidanceLabel"/>
        <w:rPr>
          <w:lang w:val="fr-CA"/>
        </w:rPr>
      </w:pPr>
      <w:bookmarkStart w:id="190" w:name="_Toc140069053"/>
      <w:r w:rsidRPr="00683937">
        <w:rPr>
          <w:lang w:val="fr-CA"/>
        </w:rPr>
        <w:t>Exigences</w:t>
      </w:r>
      <w:bookmarkEnd w:id="190"/>
    </w:p>
    <w:p w14:paraId="692BD4E3" w14:textId="77777777" w:rsidR="00E96362" w:rsidRPr="00683937" w:rsidRDefault="00E96362" w:rsidP="00E96362">
      <w:pPr>
        <w:pStyle w:val="BodyText"/>
        <w:rPr>
          <w:lang w:val="fr-CA"/>
        </w:rPr>
      </w:pPr>
      <w:r w:rsidRPr="00683937">
        <w:rPr>
          <w:lang w:val="fr-CA"/>
        </w:rPr>
        <w:t>Le titulaire de permis doit établir des dispositions pour assurer la surveillance de l’intégrité du combustible.</w:t>
      </w:r>
    </w:p>
    <w:p w14:paraId="51930465" w14:textId="77777777" w:rsidR="00E96362" w:rsidRPr="00683937" w:rsidRDefault="00E96362" w:rsidP="00E96362">
      <w:pPr>
        <w:pStyle w:val="HeadingRequirementsorGuidanceLabel"/>
        <w:rPr>
          <w:lang w:val="fr-CA"/>
        </w:rPr>
      </w:pPr>
      <w:bookmarkStart w:id="191" w:name="_Toc140069054"/>
      <w:r w:rsidRPr="00683937">
        <w:rPr>
          <w:lang w:val="fr-CA"/>
        </w:rPr>
        <w:t>Orientation</w:t>
      </w:r>
      <w:bookmarkEnd w:id="191"/>
    </w:p>
    <w:p w14:paraId="101C812B" w14:textId="77777777" w:rsidR="00E96362" w:rsidRPr="00683937" w:rsidRDefault="00E96362" w:rsidP="00E96362">
      <w:pPr>
        <w:pStyle w:val="BodyText"/>
        <w:keepNext/>
        <w:spacing w:after="0"/>
        <w:rPr>
          <w:lang w:val="fr-CA"/>
        </w:rPr>
      </w:pPr>
      <w:r w:rsidRPr="00683937">
        <w:rPr>
          <w:lang w:val="fr-CA"/>
        </w:rPr>
        <w:t>Voici quelques exemples de mesures de surveillance de l’intégrité du combustible :</w:t>
      </w:r>
    </w:p>
    <w:p w14:paraId="3094065E" w14:textId="77777777" w:rsidR="00E96362" w:rsidRPr="00683937" w:rsidRDefault="00E96362" w:rsidP="00E96362">
      <w:pPr>
        <w:pStyle w:val="BulletList"/>
        <w:numPr>
          <w:ilvl w:val="0"/>
          <w:numId w:val="8"/>
        </w:numPr>
        <w:ind w:left="1080"/>
        <w:rPr>
          <w:lang w:val="fr-CA"/>
        </w:rPr>
      </w:pPr>
      <w:r>
        <w:rPr>
          <w:lang w:val="fr-CA"/>
        </w:rPr>
        <w:t>e</w:t>
      </w:r>
      <w:r w:rsidRPr="00683937">
        <w:rPr>
          <w:lang w:val="fr-CA"/>
        </w:rPr>
        <w:t xml:space="preserve">xamen et analyse de </w:t>
      </w:r>
      <w:r>
        <w:rPr>
          <w:lang w:val="fr-CA"/>
        </w:rPr>
        <w:t xml:space="preserve">la </w:t>
      </w:r>
      <w:r w:rsidRPr="00683937">
        <w:rPr>
          <w:lang w:val="fr-CA"/>
        </w:rPr>
        <w:t>radiochimie portant sur le gaz ou le liquide de refroidissement</w:t>
      </w:r>
    </w:p>
    <w:p w14:paraId="39C52362" w14:textId="77777777" w:rsidR="00E96362" w:rsidRPr="00683937" w:rsidRDefault="00E96362" w:rsidP="00E96362">
      <w:pPr>
        <w:pStyle w:val="BulletListLastItem"/>
        <w:numPr>
          <w:ilvl w:val="0"/>
          <w:numId w:val="8"/>
        </w:numPr>
        <w:ind w:left="1080"/>
        <w:rPr>
          <w:lang w:val="fr-CA"/>
        </w:rPr>
      </w:pPr>
      <w:r>
        <w:rPr>
          <w:lang w:val="fr-CA"/>
        </w:rPr>
        <w:t>e</w:t>
      </w:r>
      <w:r w:rsidRPr="00683937">
        <w:rPr>
          <w:lang w:val="fr-CA"/>
        </w:rPr>
        <w:t>xamen post-irradiat</w:t>
      </w:r>
      <w:r>
        <w:rPr>
          <w:lang w:val="fr-CA"/>
        </w:rPr>
        <w:t>ion</w:t>
      </w:r>
      <w:r w:rsidRPr="00683937">
        <w:rPr>
          <w:lang w:val="fr-CA"/>
        </w:rPr>
        <w:t xml:space="preserve"> du combustible </w:t>
      </w:r>
      <w:r>
        <w:rPr>
          <w:lang w:val="fr-CA"/>
        </w:rPr>
        <w:t>déchargé</w:t>
      </w:r>
    </w:p>
    <w:p w14:paraId="5AEB3B45" w14:textId="77777777" w:rsidR="00E96362" w:rsidRPr="00683937" w:rsidRDefault="00E96362" w:rsidP="00E96362">
      <w:pPr>
        <w:pStyle w:val="BodyText"/>
        <w:keepNext/>
        <w:spacing w:after="0"/>
        <w:rPr>
          <w:lang w:val="fr-CA"/>
        </w:rPr>
      </w:pPr>
      <w:r w:rsidRPr="00683937">
        <w:rPr>
          <w:lang w:val="fr-CA"/>
        </w:rPr>
        <w:t>Pour obtenir plus d’information, veuillez consulter les documents suivants :</w:t>
      </w:r>
    </w:p>
    <w:p w14:paraId="0D4DA9A6" w14:textId="3A76389F" w:rsidR="00E96362" w:rsidRPr="00683937" w:rsidRDefault="00E96362" w:rsidP="00E96362">
      <w:pPr>
        <w:pStyle w:val="BulletList"/>
        <w:keepNext/>
        <w:numPr>
          <w:ilvl w:val="0"/>
          <w:numId w:val="8"/>
        </w:numPr>
        <w:ind w:left="1077" w:hanging="357"/>
        <w:rPr>
          <w:lang w:val="fr-CA"/>
        </w:rPr>
      </w:pPr>
      <w:r w:rsidRPr="00683937">
        <w:rPr>
          <w:lang w:val="fr-CA"/>
        </w:rPr>
        <w:t>REGDOC</w:t>
      </w:r>
      <w:r w:rsidRPr="00683937">
        <w:rPr>
          <w:lang w:val="fr-CA"/>
        </w:rPr>
        <w:noBreakHyphen/>
        <w:t xml:space="preserve">2.4.5, </w:t>
      </w:r>
      <w:r w:rsidRPr="00683937">
        <w:rPr>
          <w:i/>
          <w:iCs/>
          <w:lang w:val="fr-CA"/>
        </w:rPr>
        <w:t>Sûreté du combustible nucléaire</w:t>
      </w:r>
      <w:r w:rsidRPr="00683937">
        <w:rPr>
          <w:lang w:val="fr-CA"/>
        </w:rPr>
        <w:t> [2</w:t>
      </w:r>
      <w:r w:rsidR="00A0465B">
        <w:rPr>
          <w:lang w:val="fr-CA"/>
        </w:rPr>
        <w:t>6</w:t>
      </w:r>
      <w:r w:rsidRPr="00683937">
        <w:rPr>
          <w:lang w:val="fr-CA"/>
        </w:rPr>
        <w:t>]</w:t>
      </w:r>
    </w:p>
    <w:p w14:paraId="77720823" w14:textId="01370FE2" w:rsidR="00E96362" w:rsidRPr="00683937" w:rsidRDefault="00E96362" w:rsidP="00E96362">
      <w:pPr>
        <w:pStyle w:val="BulletListLastItem"/>
        <w:numPr>
          <w:ilvl w:val="0"/>
          <w:numId w:val="8"/>
        </w:numPr>
        <w:ind w:left="1080"/>
        <w:rPr>
          <w:lang w:val="fr-CA"/>
        </w:rPr>
      </w:pPr>
      <w:r w:rsidRPr="00683937">
        <w:rPr>
          <w:lang w:val="fr-CA"/>
        </w:rPr>
        <w:t>REGDOC</w:t>
      </w:r>
      <w:r w:rsidRPr="00683937">
        <w:rPr>
          <w:lang w:val="fr-CA"/>
        </w:rPr>
        <w:noBreakHyphen/>
        <w:t xml:space="preserve">2.6.4, </w:t>
      </w:r>
      <w:r w:rsidRPr="00683937">
        <w:rPr>
          <w:i/>
          <w:iCs/>
          <w:lang w:val="fr-CA"/>
        </w:rPr>
        <w:t>Contrôle ch</w:t>
      </w:r>
      <w:r>
        <w:rPr>
          <w:i/>
          <w:iCs/>
          <w:lang w:val="fr-CA"/>
        </w:rPr>
        <w:t>i</w:t>
      </w:r>
      <w:r w:rsidRPr="00683937">
        <w:rPr>
          <w:i/>
          <w:iCs/>
          <w:lang w:val="fr-CA"/>
        </w:rPr>
        <w:t>mique</w:t>
      </w:r>
      <w:r w:rsidRPr="00683937">
        <w:rPr>
          <w:lang w:val="fr-CA"/>
        </w:rPr>
        <w:t> [2</w:t>
      </w:r>
      <w:r w:rsidR="003F5908">
        <w:rPr>
          <w:lang w:val="fr-CA"/>
        </w:rPr>
        <w:t>1</w:t>
      </w:r>
      <w:r w:rsidRPr="00683937">
        <w:rPr>
          <w:lang w:val="fr-CA"/>
        </w:rPr>
        <w:t>]</w:t>
      </w:r>
    </w:p>
    <w:p w14:paraId="6CAF27D0" w14:textId="77777777" w:rsidR="00E96362" w:rsidRPr="00683937" w:rsidRDefault="00E96362" w:rsidP="00E96362">
      <w:pPr>
        <w:pStyle w:val="Heading3"/>
        <w:rPr>
          <w:lang w:val="fr-CA"/>
        </w:rPr>
      </w:pPr>
      <w:bookmarkStart w:id="192" w:name="_Toc126324289"/>
      <w:bookmarkStart w:id="193" w:name="_Toc140069055"/>
      <w:bookmarkStart w:id="194" w:name="_Toc140069143"/>
      <w:bookmarkStart w:id="195" w:name="_Toc140069186"/>
      <w:bookmarkStart w:id="196" w:name="_Toc152766318"/>
      <w:r w:rsidRPr="00683937">
        <w:rPr>
          <w:lang w:val="fr-CA"/>
        </w:rPr>
        <w:t>Gestion de la criticité hors cœur pour les combustibles enrichis</w:t>
      </w:r>
      <w:bookmarkEnd w:id="192"/>
      <w:bookmarkEnd w:id="193"/>
      <w:bookmarkEnd w:id="194"/>
      <w:bookmarkEnd w:id="195"/>
      <w:bookmarkEnd w:id="196"/>
    </w:p>
    <w:p w14:paraId="4D886027" w14:textId="77777777" w:rsidR="001F5DDE" w:rsidRPr="00F83CD5" w:rsidRDefault="001F5DDE" w:rsidP="001F5DDE">
      <w:pPr>
        <w:pStyle w:val="HeadingRequirementsorGuidanceLabel"/>
        <w:rPr>
          <w:lang w:val="fr-CA"/>
        </w:rPr>
      </w:pPr>
      <w:bookmarkStart w:id="197" w:name="_Toc140069056"/>
      <w:r w:rsidRPr="00F83CD5">
        <w:rPr>
          <w:lang w:val="fr-CA"/>
        </w:rPr>
        <w:t>Exigences</w:t>
      </w:r>
    </w:p>
    <w:p w14:paraId="03DD85B9" w14:textId="62F2E71A" w:rsidR="001F5DDE" w:rsidRPr="00CF7F73" w:rsidRDefault="00CF7F73" w:rsidP="001F5DDE">
      <w:pPr>
        <w:pStyle w:val="BodyText"/>
        <w:rPr>
          <w:lang w:val="fr-CA"/>
        </w:rPr>
      </w:pPr>
      <w:r w:rsidRPr="00AF5033">
        <w:rPr>
          <w:lang w:val="fr-CA"/>
        </w:rPr>
        <w:t>Le titulaire de permis doit s’assurer que toute manipulation du combustible enrichi est effectuée conformément aux dispositions de sûreté-criticité nucléaire.</w:t>
      </w:r>
    </w:p>
    <w:p w14:paraId="16975592" w14:textId="77777777" w:rsidR="00E96362" w:rsidRPr="00683937" w:rsidRDefault="00E96362" w:rsidP="00E96362">
      <w:pPr>
        <w:pStyle w:val="HeadingRequirementsorGuidanceLabel"/>
        <w:rPr>
          <w:lang w:val="fr-CA"/>
        </w:rPr>
      </w:pPr>
      <w:r w:rsidRPr="00683937">
        <w:rPr>
          <w:lang w:val="fr-CA"/>
        </w:rPr>
        <w:t>Orientation</w:t>
      </w:r>
      <w:bookmarkEnd w:id="197"/>
    </w:p>
    <w:p w14:paraId="46BA7105" w14:textId="40105857" w:rsidR="00E96362" w:rsidRPr="00683937" w:rsidRDefault="00E96362" w:rsidP="00E96362">
      <w:pPr>
        <w:pStyle w:val="BodyText"/>
        <w:rPr>
          <w:lang w:val="fr-CA"/>
        </w:rPr>
      </w:pPr>
      <w:r w:rsidRPr="00683937">
        <w:rPr>
          <w:lang w:val="fr-CA"/>
        </w:rPr>
        <w:t>Pour obtenir de l’information sur la gestion de la sûreté-criticité nucléaire pour les installations disposant de matière fissile à l’extérieur de réacteurs nucléaires, veuillez consulter le REGDOC</w:t>
      </w:r>
      <w:r w:rsidRPr="00683937">
        <w:rPr>
          <w:lang w:val="fr-CA"/>
        </w:rPr>
        <w:noBreakHyphen/>
        <w:t xml:space="preserve">2.4.3, </w:t>
      </w:r>
      <w:r w:rsidRPr="00683937">
        <w:rPr>
          <w:i/>
          <w:iCs/>
          <w:lang w:val="fr-CA"/>
        </w:rPr>
        <w:t>Sûreté-criticité nucléaire</w:t>
      </w:r>
      <w:r w:rsidRPr="00683937">
        <w:rPr>
          <w:lang w:val="fr-CA"/>
        </w:rPr>
        <w:t> [2</w:t>
      </w:r>
      <w:r w:rsidR="006A400F">
        <w:rPr>
          <w:lang w:val="fr-CA"/>
        </w:rPr>
        <w:t>7</w:t>
      </w:r>
      <w:r w:rsidRPr="00683937">
        <w:rPr>
          <w:lang w:val="fr-CA"/>
        </w:rPr>
        <w:t>].</w:t>
      </w:r>
    </w:p>
    <w:p w14:paraId="798EA262" w14:textId="77777777" w:rsidR="00E96362" w:rsidRPr="00683937" w:rsidRDefault="00E96362" w:rsidP="00E96362">
      <w:pPr>
        <w:pStyle w:val="Heading2"/>
        <w:rPr>
          <w:lang w:val="fr-CA"/>
        </w:rPr>
      </w:pPr>
      <w:bookmarkStart w:id="198" w:name="_Toc126324290"/>
      <w:bookmarkStart w:id="199" w:name="_Toc140069057"/>
      <w:bookmarkStart w:id="200" w:name="_Toc140069144"/>
      <w:bookmarkStart w:id="201" w:name="_Toc140069187"/>
      <w:bookmarkStart w:id="202" w:name="_Toc152766319"/>
      <w:r w:rsidRPr="00683937">
        <w:rPr>
          <w:lang w:val="fr-CA"/>
        </w:rPr>
        <w:t>Procédures d’exploitation</w:t>
      </w:r>
      <w:bookmarkEnd w:id="198"/>
      <w:bookmarkEnd w:id="199"/>
      <w:bookmarkEnd w:id="200"/>
      <w:bookmarkEnd w:id="201"/>
      <w:bookmarkEnd w:id="202"/>
    </w:p>
    <w:p w14:paraId="6FF87412" w14:textId="77777777" w:rsidR="00E96362" w:rsidRPr="00683937" w:rsidRDefault="00E96362" w:rsidP="00E96362">
      <w:pPr>
        <w:pStyle w:val="HeadingRequirementsorGuidanceLabel"/>
        <w:rPr>
          <w:lang w:val="fr-CA"/>
        </w:rPr>
      </w:pPr>
      <w:bookmarkStart w:id="203" w:name="_Toc140069058"/>
      <w:r w:rsidRPr="00683937">
        <w:rPr>
          <w:lang w:val="fr-CA"/>
        </w:rPr>
        <w:t>Exigences</w:t>
      </w:r>
      <w:bookmarkEnd w:id="203"/>
    </w:p>
    <w:p w14:paraId="2989DB17" w14:textId="77777777" w:rsidR="00E96362" w:rsidRPr="00683937" w:rsidRDefault="00E96362" w:rsidP="00E96362">
      <w:pPr>
        <w:pStyle w:val="BodyText"/>
        <w:rPr>
          <w:lang w:val="fr-CA"/>
        </w:rPr>
      </w:pPr>
      <w:r w:rsidRPr="00683937">
        <w:rPr>
          <w:lang w:val="fr-CA"/>
        </w:rPr>
        <w:t xml:space="preserve">Le titulaire de permis doit établir une politique sur l’utilisation des procédures d’exploitation. Il doit veiller à ce que cette politique soit communiquée à tous les membres du personnel qui </w:t>
      </w:r>
      <w:r>
        <w:rPr>
          <w:lang w:val="fr-CA"/>
        </w:rPr>
        <w:t>peuvent être</w:t>
      </w:r>
      <w:r w:rsidRPr="00683937">
        <w:rPr>
          <w:lang w:val="fr-CA"/>
        </w:rPr>
        <w:t xml:space="preserve"> concernés (par exemple, les opérateurs et le</w:t>
      </w:r>
      <w:r>
        <w:rPr>
          <w:lang w:val="fr-CA"/>
        </w:rPr>
        <w:t xml:space="preserve"> personnel d’exploitation</w:t>
      </w:r>
      <w:r w:rsidRPr="00683937">
        <w:rPr>
          <w:lang w:val="fr-CA"/>
        </w:rPr>
        <w:t>, les ingénieurs et les représentants des analyses de la sûreté).</w:t>
      </w:r>
    </w:p>
    <w:p w14:paraId="28A6C145" w14:textId="77777777" w:rsidR="00E96362" w:rsidRPr="00683937" w:rsidRDefault="00E96362" w:rsidP="00E96362">
      <w:pPr>
        <w:pStyle w:val="BodyText"/>
        <w:keepNext/>
        <w:spacing w:after="0"/>
        <w:rPr>
          <w:lang w:val="fr-CA"/>
        </w:rPr>
      </w:pPr>
      <w:r w:rsidRPr="00683937">
        <w:rPr>
          <w:lang w:val="fr-CA"/>
        </w:rPr>
        <w:t>Le titulaire de permis doit s’assurer que les procédures d’exploitation sont rédigées de manière normalisée et font état des renseignements suivants :</w:t>
      </w:r>
    </w:p>
    <w:p w14:paraId="20514B96"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 xml:space="preserve">es limites de sûreté et </w:t>
      </w:r>
      <w:r>
        <w:rPr>
          <w:lang w:val="fr-CA"/>
        </w:rPr>
        <w:t xml:space="preserve">les </w:t>
      </w:r>
      <w:r w:rsidRPr="00683937">
        <w:rPr>
          <w:lang w:val="fr-CA"/>
        </w:rPr>
        <w:t xml:space="preserve">limites administratives internes pertinentes ainsi que les états </w:t>
      </w:r>
      <w:r>
        <w:rPr>
          <w:lang w:val="fr-CA"/>
        </w:rPr>
        <w:t>de fonctionnement</w:t>
      </w:r>
      <w:r w:rsidRPr="00683937">
        <w:rPr>
          <w:lang w:val="fr-CA"/>
        </w:rPr>
        <w:t xml:space="preserve"> applicables</w:t>
      </w:r>
    </w:p>
    <w:p w14:paraId="69CD72F6"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exigences pour l</w:t>
      </w:r>
      <w:r>
        <w:rPr>
          <w:lang w:val="fr-CA"/>
        </w:rPr>
        <w:t>’alignement</w:t>
      </w:r>
      <w:r w:rsidRPr="00683937">
        <w:rPr>
          <w:lang w:val="fr-CA"/>
        </w:rPr>
        <w:t xml:space="preserve"> avec d’autres systèmes, et pour le démarrage et l’arrêt</w:t>
      </w:r>
    </w:p>
    <w:p w14:paraId="09C02D6C"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 xml:space="preserve">es dangers associés </w:t>
      </w:r>
      <w:r>
        <w:rPr>
          <w:lang w:val="fr-CA"/>
        </w:rPr>
        <w:t xml:space="preserve">à l’application des </w:t>
      </w:r>
      <w:r w:rsidRPr="00683937">
        <w:rPr>
          <w:lang w:val="fr-CA"/>
        </w:rPr>
        <w:t>procédures</w:t>
      </w:r>
    </w:p>
    <w:p w14:paraId="2C9B4AD9" w14:textId="77777777" w:rsidR="00E96362" w:rsidRPr="00683937" w:rsidRDefault="00E96362" w:rsidP="00E96362">
      <w:pPr>
        <w:pStyle w:val="HeadingRequirementsorGuidanceLabel"/>
        <w:rPr>
          <w:lang w:val="fr-CA"/>
        </w:rPr>
      </w:pPr>
      <w:bookmarkStart w:id="204" w:name="_Toc140069059"/>
      <w:r w:rsidRPr="00683937">
        <w:rPr>
          <w:lang w:val="fr-CA"/>
        </w:rPr>
        <w:t>Orientation</w:t>
      </w:r>
      <w:bookmarkEnd w:id="204"/>
    </w:p>
    <w:p w14:paraId="5C932CAA" w14:textId="77777777" w:rsidR="00E96362" w:rsidRPr="00683937" w:rsidRDefault="00E96362" w:rsidP="00E96362">
      <w:pPr>
        <w:pStyle w:val="BodyText"/>
        <w:keepNext/>
        <w:spacing w:after="0"/>
        <w:rPr>
          <w:lang w:val="fr-CA"/>
        </w:rPr>
      </w:pPr>
      <w:r w:rsidRPr="00683937">
        <w:rPr>
          <w:lang w:val="fr-CA"/>
        </w:rPr>
        <w:t xml:space="preserve">Les procédures d’exploitation devraient également </w:t>
      </w:r>
      <w:r>
        <w:rPr>
          <w:lang w:val="fr-CA"/>
        </w:rPr>
        <w:t>faire état de</w:t>
      </w:r>
      <w:r w:rsidRPr="00683937">
        <w:rPr>
          <w:lang w:val="fr-CA"/>
        </w:rPr>
        <w:t xml:space="preserve"> ce qui suit :</w:t>
      </w:r>
    </w:p>
    <w:p w14:paraId="15255AB0"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alarmes</w:t>
      </w:r>
    </w:p>
    <w:p w14:paraId="5514DF1D" w14:textId="77777777" w:rsidR="00E96362" w:rsidRPr="00683937" w:rsidRDefault="00E96362" w:rsidP="00E96362">
      <w:pPr>
        <w:pStyle w:val="BulletList"/>
        <w:numPr>
          <w:ilvl w:val="0"/>
          <w:numId w:val="8"/>
        </w:numPr>
        <w:ind w:left="1077" w:hanging="357"/>
        <w:rPr>
          <w:lang w:val="fr-CA"/>
        </w:rPr>
      </w:pPr>
      <w:r>
        <w:rPr>
          <w:lang w:val="fr-CA"/>
        </w:rPr>
        <w:t>l</w:t>
      </w:r>
      <w:r w:rsidRPr="00683937">
        <w:rPr>
          <w:lang w:val="fr-CA"/>
        </w:rPr>
        <w:t>es défaillances courantes et les façons de les résoudre</w:t>
      </w:r>
    </w:p>
    <w:p w14:paraId="1CC038D3"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procédures temporaires</w:t>
      </w:r>
    </w:p>
    <w:p w14:paraId="1550AF9A"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 niveau d’approbation requis pour déroger à la procédure</w:t>
      </w:r>
    </w:p>
    <w:p w14:paraId="536D5C38" w14:textId="77777777" w:rsidR="00E96362" w:rsidRPr="00683937" w:rsidRDefault="00E96362" w:rsidP="00E96362">
      <w:pPr>
        <w:pStyle w:val="BodyText"/>
        <w:rPr>
          <w:lang w:val="fr-CA"/>
        </w:rPr>
      </w:pPr>
      <w:r w:rsidRPr="00683937">
        <w:rPr>
          <w:lang w:val="fr-CA"/>
        </w:rPr>
        <w:t>Le titulaire de permis devrait catégoriser les procédures d’exploitation selon la manière dont elles sont appliquées.</w:t>
      </w:r>
    </w:p>
    <w:p w14:paraId="2577AFCE" w14:textId="77777777" w:rsidR="00E96362" w:rsidRPr="00683937" w:rsidRDefault="00E96362" w:rsidP="00E96362">
      <w:pPr>
        <w:pStyle w:val="BodyText"/>
        <w:rPr>
          <w:lang w:val="fr-CA"/>
        </w:rPr>
      </w:pPr>
      <w:r w:rsidRPr="00683937">
        <w:rPr>
          <w:lang w:val="fr-CA"/>
        </w:rPr>
        <w:t xml:space="preserve">Le titulaire de permis devrait s’assurer que les procédures sont compatibles avec l’environnement dans lequel elles seront utilisées. Les procédures devraient être validées dans la forme sous laquelle elles seront utilisées sur le terrain (format papier, listes de contrôle électroniques, etc.). Les valeurs prescrites dans les procédures devraient correspondre aux unités utilisées dans les instruments connexes dans la salle de commande, sur les panneaux de commande locaux </w:t>
      </w:r>
      <w:r>
        <w:rPr>
          <w:lang w:val="fr-CA"/>
        </w:rPr>
        <w:t>ou</w:t>
      </w:r>
      <w:r w:rsidRPr="00683937">
        <w:rPr>
          <w:lang w:val="fr-CA"/>
        </w:rPr>
        <w:t xml:space="preserve"> </w:t>
      </w:r>
      <w:r>
        <w:rPr>
          <w:lang w:val="fr-CA"/>
        </w:rPr>
        <w:t>pour</w:t>
      </w:r>
      <w:r w:rsidRPr="00683937">
        <w:rPr>
          <w:lang w:val="fr-CA"/>
        </w:rPr>
        <w:t xml:space="preserve"> l’équipement </w:t>
      </w:r>
      <w:r>
        <w:rPr>
          <w:lang w:val="fr-CA"/>
        </w:rPr>
        <w:t>de</w:t>
      </w:r>
      <w:r w:rsidRPr="00683937">
        <w:rPr>
          <w:lang w:val="fr-CA"/>
        </w:rPr>
        <w:t xml:space="preserve"> l’installation.   </w:t>
      </w:r>
    </w:p>
    <w:p w14:paraId="7BA0350B" w14:textId="77777777" w:rsidR="00E96362" w:rsidRPr="00683937" w:rsidRDefault="00E96362" w:rsidP="00E96362">
      <w:pPr>
        <w:pStyle w:val="BodyText"/>
        <w:rPr>
          <w:lang w:val="fr-CA"/>
        </w:rPr>
      </w:pPr>
      <w:r w:rsidRPr="00683937">
        <w:rPr>
          <w:lang w:val="fr-CA"/>
        </w:rPr>
        <w:t>Le titulaire de permis devrait s’assurer que les procédures, les dessins et les autres documents utilisés par le personnel d’exploitation – dans la salle de commande ou ailleurs dans l’installation – sont approuvés et autorisés conformément aux procédures du système de gestion. Ces documents devraient être contrôlés, examinés fréquemment, mis à jour rapidement suivant les besoins et maintenus en bon état. Les mises à jour devraient aussi inclure les résultats découlant de l’OPEX.</w:t>
      </w:r>
    </w:p>
    <w:p w14:paraId="4C1FE493" w14:textId="68837EAF" w:rsidR="00E96362" w:rsidRPr="00683937" w:rsidRDefault="00E96362" w:rsidP="00E96362">
      <w:pPr>
        <w:pStyle w:val="BodyText"/>
        <w:rPr>
          <w:lang w:val="fr-CA"/>
        </w:rPr>
      </w:pPr>
      <w:r w:rsidRPr="00683937">
        <w:rPr>
          <w:lang w:val="fr-CA"/>
        </w:rPr>
        <w:t xml:space="preserve">Les procédures d’exploitation </w:t>
      </w:r>
      <w:r w:rsidR="00083AB6">
        <w:rPr>
          <w:lang w:val="fr-CA"/>
        </w:rPr>
        <w:t>sur incident</w:t>
      </w:r>
      <w:r w:rsidRPr="00683937">
        <w:rPr>
          <w:lang w:val="fr-CA"/>
        </w:rPr>
        <w:t xml:space="preserve"> devraient être clairement différenciées des autres procédures d’exploitation.</w:t>
      </w:r>
    </w:p>
    <w:p w14:paraId="7E90C5B9" w14:textId="77777777" w:rsidR="00E96362" w:rsidRPr="00683937" w:rsidRDefault="00E96362" w:rsidP="00E96362">
      <w:pPr>
        <w:pStyle w:val="BodyText"/>
        <w:rPr>
          <w:lang w:val="fr-CA"/>
        </w:rPr>
      </w:pPr>
      <w:r w:rsidRPr="00683937">
        <w:rPr>
          <w:lang w:val="fr-CA"/>
        </w:rPr>
        <w:t xml:space="preserve">Pour obtenir plus d’information sur l’utilisation et le respect des procédures et sur le contrôle de la documentation, veuillez consulter la norme CSA N286, </w:t>
      </w:r>
      <w:r w:rsidRPr="00683937">
        <w:rPr>
          <w:i/>
          <w:iCs/>
          <w:lang w:val="fr-CA"/>
        </w:rPr>
        <w:t>Exigences relatives au système de gestion des installations nucléaires</w:t>
      </w:r>
      <w:r w:rsidRPr="00683937">
        <w:rPr>
          <w:lang w:val="fr-CA"/>
        </w:rPr>
        <w:t> [4].</w:t>
      </w:r>
    </w:p>
    <w:p w14:paraId="12FE40BF" w14:textId="77777777" w:rsidR="00E96362" w:rsidRPr="00683937" w:rsidRDefault="00E96362" w:rsidP="00E96362">
      <w:pPr>
        <w:pStyle w:val="Heading3"/>
        <w:rPr>
          <w:lang w:val="fr-CA"/>
        </w:rPr>
      </w:pPr>
      <w:bookmarkStart w:id="205" w:name="_Toc126324291"/>
      <w:bookmarkStart w:id="206" w:name="_Toc140069060"/>
      <w:bookmarkStart w:id="207" w:name="_Toc140069145"/>
      <w:bookmarkStart w:id="208" w:name="_Toc140069188"/>
      <w:bookmarkStart w:id="209" w:name="_Toc152766320"/>
      <w:r w:rsidRPr="00683937">
        <w:rPr>
          <w:lang w:val="fr-CA"/>
        </w:rPr>
        <w:t>Dispositifs d’assistance à l’opérateur</w:t>
      </w:r>
      <w:bookmarkEnd w:id="205"/>
      <w:bookmarkEnd w:id="206"/>
      <w:bookmarkEnd w:id="207"/>
      <w:bookmarkEnd w:id="208"/>
      <w:bookmarkEnd w:id="209"/>
    </w:p>
    <w:p w14:paraId="3F06A0A6" w14:textId="77777777" w:rsidR="00E96362" w:rsidRPr="00683937" w:rsidRDefault="00E96362" w:rsidP="00E96362">
      <w:pPr>
        <w:pStyle w:val="HeadingRequirementsorGuidanceLabel"/>
        <w:rPr>
          <w:lang w:val="fr-CA"/>
        </w:rPr>
      </w:pPr>
      <w:bookmarkStart w:id="210" w:name="_Toc140069061"/>
      <w:r w:rsidRPr="00683937">
        <w:rPr>
          <w:lang w:val="fr-CA"/>
        </w:rPr>
        <w:t>Exigences</w:t>
      </w:r>
      <w:bookmarkEnd w:id="210"/>
    </w:p>
    <w:p w14:paraId="7C4DE228" w14:textId="77777777" w:rsidR="00E96362" w:rsidRPr="00683937" w:rsidRDefault="00E96362" w:rsidP="00E96362">
      <w:pPr>
        <w:pStyle w:val="BodyText"/>
        <w:rPr>
          <w:lang w:val="fr-CA"/>
        </w:rPr>
      </w:pPr>
      <w:r w:rsidRPr="00683937">
        <w:rPr>
          <w:lang w:val="fr-CA"/>
        </w:rPr>
        <w:t>Le titulaire de permis doit appliquer une politique d’exploitation claire visant à réduire au minimum l’utilisation de dispositifs d’assistance à l’opérateur et la mesure dans laquelle les opérateurs comptent sur ceux-ci.</w:t>
      </w:r>
    </w:p>
    <w:p w14:paraId="52EA2146" w14:textId="77777777" w:rsidR="00E96362" w:rsidRPr="00683937" w:rsidRDefault="00E96362" w:rsidP="00E96362">
      <w:pPr>
        <w:pStyle w:val="BodyText"/>
        <w:rPr>
          <w:lang w:val="fr-CA"/>
        </w:rPr>
      </w:pPr>
      <w:r w:rsidRPr="00683937">
        <w:rPr>
          <w:lang w:val="fr-CA"/>
        </w:rPr>
        <w:t>Le titulaire de permis doit s’assurer que si des dispositifs d’assistance à l’opérateur sont utilisés, ceux-ci viennent en complément des procédures approuvées ou des modifications procédurales et ne s’y substituent pas.</w:t>
      </w:r>
    </w:p>
    <w:p w14:paraId="7B0B674C" w14:textId="77777777" w:rsidR="00E96362" w:rsidRPr="00683937" w:rsidRDefault="00E96362" w:rsidP="00E96362">
      <w:pPr>
        <w:pStyle w:val="HeadingRequirementsorGuidanceLabel"/>
        <w:rPr>
          <w:lang w:val="fr-CA"/>
        </w:rPr>
      </w:pPr>
      <w:bookmarkStart w:id="211" w:name="_Toc140069062"/>
      <w:r w:rsidRPr="00683937">
        <w:rPr>
          <w:lang w:val="fr-CA"/>
        </w:rPr>
        <w:t>Orientation</w:t>
      </w:r>
      <w:bookmarkEnd w:id="211"/>
    </w:p>
    <w:p w14:paraId="7F86CBE3" w14:textId="14910519" w:rsidR="00E96362" w:rsidRPr="00683937" w:rsidRDefault="00E96362" w:rsidP="00E96362">
      <w:pPr>
        <w:pStyle w:val="BodyText"/>
        <w:rPr>
          <w:lang w:val="fr-CA"/>
        </w:rPr>
      </w:pPr>
      <w:r w:rsidRPr="00683937">
        <w:rPr>
          <w:lang w:val="fr-CA"/>
        </w:rPr>
        <w:t>Parmi les dispositifs d’assistance à l’opérateur figurent les croquis, les notes manuscrites, les graphiques en courbes et les diagrammes, les instructions, les copies de</w:t>
      </w:r>
      <w:r w:rsidR="00083AB6">
        <w:rPr>
          <w:lang w:val="fr-CA"/>
        </w:rPr>
        <w:t>s</w:t>
      </w:r>
      <w:r w:rsidRPr="00683937">
        <w:rPr>
          <w:lang w:val="fr-CA"/>
        </w:rPr>
        <w:t xml:space="preserve"> procédure</w:t>
      </w:r>
      <w:r w:rsidR="00083AB6">
        <w:rPr>
          <w:lang w:val="fr-CA"/>
        </w:rPr>
        <w:t>s</w:t>
      </w:r>
      <w:r w:rsidRPr="00683937">
        <w:rPr>
          <w:lang w:val="fr-CA"/>
        </w:rPr>
        <w:t>, les imprimés, les dessins, les étiquettes d’information et d’autres sources d’information qu’utilisent les opérateurs pour les aider à exécuter les fonctions qui leur sont assignées.</w:t>
      </w:r>
    </w:p>
    <w:p w14:paraId="7148B846" w14:textId="77777777" w:rsidR="00E96362" w:rsidRPr="00683937" w:rsidRDefault="00E96362" w:rsidP="00E96362">
      <w:pPr>
        <w:pStyle w:val="BodyText"/>
        <w:rPr>
          <w:lang w:val="fr-CA"/>
        </w:rPr>
      </w:pPr>
      <w:r w:rsidRPr="00683937">
        <w:rPr>
          <w:lang w:val="fr-CA"/>
        </w:rPr>
        <w:t>Si un dispositif d’assistance à l’opérateur devient un outil permanent de l’installation, il devrait être incorporé dans les procédures officielles.</w:t>
      </w:r>
    </w:p>
    <w:p w14:paraId="0DD25C87" w14:textId="77777777" w:rsidR="00E96362" w:rsidRPr="00683937" w:rsidRDefault="00E96362" w:rsidP="00E96362">
      <w:pPr>
        <w:pStyle w:val="Heading3"/>
        <w:rPr>
          <w:lang w:val="fr-CA"/>
        </w:rPr>
      </w:pPr>
      <w:bookmarkStart w:id="212" w:name="_Toc126324292"/>
      <w:bookmarkStart w:id="213" w:name="_Toc140069063"/>
      <w:bookmarkStart w:id="214" w:name="_Toc140069146"/>
      <w:bookmarkStart w:id="215" w:name="_Toc140069189"/>
      <w:bookmarkStart w:id="216" w:name="_Toc152766321"/>
      <w:r w:rsidRPr="00683937">
        <w:rPr>
          <w:lang w:val="fr-CA"/>
        </w:rPr>
        <w:t>Autorisation de travaux</w:t>
      </w:r>
      <w:bookmarkEnd w:id="212"/>
      <w:bookmarkEnd w:id="213"/>
      <w:bookmarkEnd w:id="214"/>
      <w:bookmarkEnd w:id="215"/>
      <w:bookmarkEnd w:id="216"/>
    </w:p>
    <w:p w14:paraId="5A346DB3" w14:textId="77777777" w:rsidR="00E96362" w:rsidRPr="00683937" w:rsidRDefault="00E96362" w:rsidP="00E96362">
      <w:pPr>
        <w:pStyle w:val="HeadingRequirementsorGuidanceLabel"/>
        <w:rPr>
          <w:lang w:val="fr-CA"/>
        </w:rPr>
      </w:pPr>
      <w:bookmarkStart w:id="217" w:name="_Toc140069064"/>
      <w:r w:rsidRPr="00683937">
        <w:rPr>
          <w:lang w:val="fr-CA"/>
        </w:rPr>
        <w:t>Exigences</w:t>
      </w:r>
      <w:bookmarkEnd w:id="217"/>
    </w:p>
    <w:p w14:paraId="286150E2" w14:textId="549BE4F6" w:rsidR="00E96362" w:rsidRPr="00683937" w:rsidRDefault="00E96362" w:rsidP="00E96362">
      <w:pPr>
        <w:pStyle w:val="BodyText"/>
        <w:rPr>
          <w:lang w:val="fr-CA"/>
        </w:rPr>
      </w:pPr>
      <w:r w:rsidRPr="00683937">
        <w:rPr>
          <w:lang w:val="fr-CA"/>
        </w:rPr>
        <w:t>Le titulaire de permis doit s’assurer que les travaux effectués au sein d’une installation dotée de réacteurs</w:t>
      </w:r>
      <w:r>
        <w:rPr>
          <w:lang w:val="fr-CA"/>
        </w:rPr>
        <w:t>,</w:t>
      </w:r>
      <w:r w:rsidRPr="00683937">
        <w:rPr>
          <w:lang w:val="fr-CA"/>
        </w:rPr>
        <w:t xml:space="preserve"> </w:t>
      </w:r>
      <w:r>
        <w:rPr>
          <w:lang w:val="fr-CA"/>
        </w:rPr>
        <w:t>qui pourraient</w:t>
      </w:r>
      <w:r w:rsidRPr="00683937">
        <w:rPr>
          <w:lang w:val="fr-CA"/>
        </w:rPr>
        <w:t xml:space="preserve"> avoir une incidence sur les systèmes de réacteur ou les systèmes connexes</w:t>
      </w:r>
      <w:r>
        <w:rPr>
          <w:lang w:val="fr-CA"/>
        </w:rPr>
        <w:t>,</w:t>
      </w:r>
      <w:r w:rsidRPr="00683937">
        <w:rPr>
          <w:lang w:val="fr-CA"/>
        </w:rPr>
        <w:t xml:space="preserve"> so</w:t>
      </w:r>
      <w:r>
        <w:rPr>
          <w:lang w:val="fr-CA"/>
        </w:rPr>
        <w:t>ie</w:t>
      </w:r>
      <w:r w:rsidRPr="00683937">
        <w:rPr>
          <w:lang w:val="fr-CA"/>
        </w:rPr>
        <w:t xml:space="preserve">nt autorisés </w:t>
      </w:r>
      <w:r>
        <w:rPr>
          <w:lang w:val="fr-CA"/>
        </w:rPr>
        <w:t>en fonction d</w:t>
      </w:r>
      <w:r w:rsidRPr="00683937">
        <w:rPr>
          <w:lang w:val="fr-CA"/>
        </w:rPr>
        <w:t>e</w:t>
      </w:r>
      <w:r>
        <w:rPr>
          <w:lang w:val="fr-CA"/>
        </w:rPr>
        <w:t xml:space="preserve"> leur</w:t>
      </w:r>
      <w:r w:rsidRPr="00683937">
        <w:rPr>
          <w:lang w:val="fr-CA"/>
        </w:rPr>
        <w:t xml:space="preserve">s répercussions potentielles sur la sécurité des travailleurs, sur l’environnement </w:t>
      </w:r>
      <w:r w:rsidR="00083AB6">
        <w:rPr>
          <w:lang w:val="fr-CA"/>
        </w:rPr>
        <w:t>et</w:t>
      </w:r>
      <w:r w:rsidRPr="00683937">
        <w:rPr>
          <w:lang w:val="fr-CA"/>
        </w:rPr>
        <w:t xml:space="preserve"> sur l’exploitation ou la sûreté de l’installation.</w:t>
      </w:r>
    </w:p>
    <w:p w14:paraId="3868B44F" w14:textId="77777777" w:rsidR="00E96362" w:rsidRPr="00683937" w:rsidRDefault="00E96362" w:rsidP="00E96362">
      <w:pPr>
        <w:pStyle w:val="BodyText"/>
        <w:rPr>
          <w:lang w:val="fr-CA"/>
        </w:rPr>
      </w:pPr>
      <w:r w:rsidRPr="00683937">
        <w:rPr>
          <w:lang w:val="fr-CA"/>
        </w:rPr>
        <w:t>Le titulaire de permis doit établir un processus pour obtenir l’autorisation de réaliser des travaux en général ainsi que pour établir, approuver, fournir, accepter et remettre une autorisation de travaux.</w:t>
      </w:r>
    </w:p>
    <w:p w14:paraId="23DA1C1C" w14:textId="77777777" w:rsidR="00E96362" w:rsidRPr="00683937" w:rsidRDefault="00E96362" w:rsidP="00E96362">
      <w:pPr>
        <w:pStyle w:val="HeadingRequirementsorGuidanceLabel"/>
        <w:rPr>
          <w:lang w:val="fr-CA"/>
        </w:rPr>
      </w:pPr>
      <w:bookmarkStart w:id="218" w:name="_Toc140069065"/>
      <w:r w:rsidRPr="00683937">
        <w:rPr>
          <w:lang w:val="fr-CA"/>
        </w:rPr>
        <w:t>Orientation</w:t>
      </w:r>
      <w:bookmarkEnd w:id="218"/>
    </w:p>
    <w:p w14:paraId="017516BF" w14:textId="77777777" w:rsidR="00E96362" w:rsidRPr="00683937" w:rsidRDefault="00E96362" w:rsidP="00E96362">
      <w:pPr>
        <w:pStyle w:val="BodyText"/>
        <w:rPr>
          <w:lang w:val="fr-CA"/>
        </w:rPr>
      </w:pPr>
      <w:r w:rsidRPr="00683937">
        <w:rPr>
          <w:lang w:val="fr-CA"/>
        </w:rPr>
        <w:t>Le titulaire de permis devrait s’assurer de mettre en place un processus contrôlé pour le transfert d’information sur les travaux aux opérateurs et au personnel d’exploitation.</w:t>
      </w:r>
    </w:p>
    <w:p w14:paraId="03F65630" w14:textId="77777777" w:rsidR="00E96362" w:rsidRPr="00683937" w:rsidRDefault="00E96362" w:rsidP="00E96362">
      <w:pPr>
        <w:pStyle w:val="Heading2"/>
        <w:rPr>
          <w:lang w:val="fr-CA"/>
        </w:rPr>
      </w:pPr>
      <w:bookmarkStart w:id="219" w:name="_Toc126324293"/>
      <w:bookmarkStart w:id="220" w:name="_Toc140069066"/>
      <w:bookmarkStart w:id="221" w:name="_Toc140069147"/>
      <w:bookmarkStart w:id="222" w:name="_Toc140069190"/>
      <w:bookmarkStart w:id="223" w:name="_Toc152766322"/>
      <w:r w:rsidRPr="00683937">
        <w:rPr>
          <w:lang w:val="fr-CA"/>
        </w:rPr>
        <w:t xml:space="preserve">Rapports </w:t>
      </w:r>
      <w:r>
        <w:rPr>
          <w:lang w:val="fr-CA"/>
        </w:rPr>
        <w:t>sur l</w:t>
      </w:r>
      <w:r w:rsidRPr="00683937">
        <w:rPr>
          <w:lang w:val="fr-CA"/>
        </w:rPr>
        <w:t>’expérience d’exploitation et examen de l’expérience d’exploitation</w:t>
      </w:r>
      <w:bookmarkEnd w:id="219"/>
      <w:bookmarkEnd w:id="220"/>
      <w:bookmarkEnd w:id="221"/>
      <w:bookmarkEnd w:id="222"/>
      <w:bookmarkEnd w:id="223"/>
    </w:p>
    <w:p w14:paraId="1C5516C7" w14:textId="77777777" w:rsidR="00E96362" w:rsidRPr="00683937" w:rsidRDefault="00E96362" w:rsidP="00E96362">
      <w:pPr>
        <w:pStyle w:val="HeadingRequirementsorGuidanceLabel"/>
        <w:rPr>
          <w:lang w:val="fr-CA"/>
        </w:rPr>
      </w:pPr>
      <w:bookmarkStart w:id="224" w:name="_Toc140069067"/>
      <w:r w:rsidRPr="00683937">
        <w:rPr>
          <w:lang w:val="fr-CA"/>
        </w:rPr>
        <w:t>Exigences</w:t>
      </w:r>
      <w:bookmarkEnd w:id="224"/>
    </w:p>
    <w:p w14:paraId="07579D22" w14:textId="0EC1E5E2" w:rsidR="00E96362" w:rsidRPr="00683937" w:rsidRDefault="00E96362" w:rsidP="00E96362">
      <w:pPr>
        <w:pStyle w:val="BodyText"/>
        <w:rPr>
          <w:lang w:val="fr-CA"/>
        </w:rPr>
      </w:pPr>
      <w:r w:rsidRPr="00683937">
        <w:rPr>
          <w:lang w:val="fr-CA"/>
        </w:rPr>
        <w:t xml:space="preserve">Le titulaire de permis doit établir un système de vérification et d’examen afin de s’assurer que le programme d’exploitation est mis en œuvre efficacement et que les </w:t>
      </w:r>
      <w:r w:rsidR="00083AB6">
        <w:rPr>
          <w:lang w:val="fr-CA"/>
        </w:rPr>
        <w:t>« </w:t>
      </w:r>
      <w:r w:rsidRPr="00683937">
        <w:rPr>
          <w:lang w:val="fr-CA"/>
        </w:rPr>
        <w:t>leçons retenues</w:t>
      </w:r>
      <w:r w:rsidR="00083AB6">
        <w:rPr>
          <w:lang w:val="fr-CA"/>
        </w:rPr>
        <w:t> »</w:t>
      </w:r>
      <w:r w:rsidRPr="00683937">
        <w:rPr>
          <w:lang w:val="fr-CA"/>
        </w:rPr>
        <w:t xml:space="preserve"> sont consignées et communiquées de sorte que le rendement de l’installation en matière de sûreté s’améliore au fil du temps.</w:t>
      </w:r>
    </w:p>
    <w:p w14:paraId="4733C475" w14:textId="77777777" w:rsidR="00E96362" w:rsidRPr="00683937" w:rsidRDefault="00E96362" w:rsidP="00E96362">
      <w:pPr>
        <w:pStyle w:val="HeadingRequirementsorGuidanceLabel"/>
        <w:rPr>
          <w:lang w:val="fr-CA"/>
        </w:rPr>
      </w:pPr>
      <w:bookmarkStart w:id="225" w:name="_Toc140069068"/>
      <w:r w:rsidRPr="00683937">
        <w:rPr>
          <w:lang w:val="fr-CA"/>
        </w:rPr>
        <w:t>Orientation</w:t>
      </w:r>
      <w:bookmarkEnd w:id="225"/>
    </w:p>
    <w:p w14:paraId="280486F2" w14:textId="5DD59B66" w:rsidR="00E96362" w:rsidRPr="00683937" w:rsidRDefault="00E96362" w:rsidP="00E96362">
      <w:pPr>
        <w:pStyle w:val="BodyText"/>
        <w:rPr>
          <w:lang w:val="fr-CA"/>
        </w:rPr>
      </w:pPr>
      <w:r w:rsidRPr="00683937">
        <w:rPr>
          <w:lang w:val="fr-CA"/>
        </w:rPr>
        <w:t xml:space="preserve">Les </w:t>
      </w:r>
      <w:r w:rsidR="00083AB6">
        <w:rPr>
          <w:lang w:val="fr-CA"/>
        </w:rPr>
        <w:t>« </w:t>
      </w:r>
      <w:r w:rsidRPr="00683937">
        <w:rPr>
          <w:lang w:val="fr-CA"/>
        </w:rPr>
        <w:t>leçons retenues</w:t>
      </w:r>
      <w:r w:rsidR="00083AB6">
        <w:rPr>
          <w:lang w:val="fr-CA"/>
        </w:rPr>
        <w:t> »</w:t>
      </w:r>
      <w:r w:rsidRPr="00683937">
        <w:rPr>
          <w:lang w:val="fr-CA"/>
        </w:rPr>
        <w:t xml:space="preserve"> devraient être enregistrées d’une manière qui facilite leur consultation lorsque des travaux </w:t>
      </w:r>
      <w:r>
        <w:rPr>
          <w:lang w:val="fr-CA"/>
        </w:rPr>
        <w:t xml:space="preserve">de nature similaire </w:t>
      </w:r>
      <w:r w:rsidRPr="00683937">
        <w:rPr>
          <w:lang w:val="fr-CA"/>
        </w:rPr>
        <w:t>sont prévus.</w:t>
      </w:r>
    </w:p>
    <w:p w14:paraId="50B9CA2E" w14:textId="77777777" w:rsidR="00E96362" w:rsidRPr="00683937" w:rsidRDefault="00E96362" w:rsidP="00E96362">
      <w:pPr>
        <w:pStyle w:val="Heading3"/>
        <w:rPr>
          <w:lang w:val="fr-CA"/>
        </w:rPr>
      </w:pPr>
      <w:bookmarkStart w:id="226" w:name="_Toc126324294"/>
      <w:bookmarkStart w:id="227" w:name="_Toc140069069"/>
      <w:bookmarkStart w:id="228" w:name="_Toc140069148"/>
      <w:bookmarkStart w:id="229" w:name="_Toc140069191"/>
      <w:bookmarkStart w:id="230" w:name="_Toc152766323"/>
      <w:r w:rsidRPr="00683937">
        <w:rPr>
          <w:lang w:val="fr-CA"/>
        </w:rPr>
        <w:t>Surveillance de la conduite de l’exploitation et présentation de rapports sur la conduite de l’exploitation</w:t>
      </w:r>
      <w:bookmarkEnd w:id="226"/>
      <w:bookmarkEnd w:id="227"/>
      <w:bookmarkEnd w:id="228"/>
      <w:bookmarkEnd w:id="229"/>
      <w:bookmarkEnd w:id="230"/>
    </w:p>
    <w:p w14:paraId="028E1F81" w14:textId="77777777" w:rsidR="00E96362" w:rsidRPr="00683937" w:rsidRDefault="00E96362" w:rsidP="00E96362">
      <w:pPr>
        <w:pStyle w:val="HeadingRequirementsorGuidanceLabel"/>
        <w:rPr>
          <w:lang w:val="fr-CA"/>
        </w:rPr>
      </w:pPr>
      <w:bookmarkStart w:id="231" w:name="_Toc140069070"/>
      <w:r w:rsidRPr="00683937">
        <w:rPr>
          <w:lang w:val="fr-CA"/>
        </w:rPr>
        <w:t>Exigences</w:t>
      </w:r>
      <w:bookmarkEnd w:id="231"/>
    </w:p>
    <w:p w14:paraId="215B54B5" w14:textId="77777777" w:rsidR="00E96362" w:rsidRPr="00683937" w:rsidRDefault="00E96362" w:rsidP="00E96362">
      <w:pPr>
        <w:pStyle w:val="BodyText"/>
        <w:rPr>
          <w:lang w:val="fr-CA"/>
        </w:rPr>
      </w:pPr>
      <w:r w:rsidRPr="00683937">
        <w:rPr>
          <w:lang w:val="fr-CA"/>
        </w:rPr>
        <w:t xml:space="preserve">Le titulaire de permis doit inclure une autoévaluation </w:t>
      </w:r>
      <w:r>
        <w:rPr>
          <w:lang w:val="fr-CA"/>
        </w:rPr>
        <w:t xml:space="preserve">comme </w:t>
      </w:r>
      <w:r w:rsidRPr="00683937">
        <w:rPr>
          <w:lang w:val="fr-CA"/>
        </w:rPr>
        <w:t>partie intégrante du système de surveillance et d’examen. Il doit procéder à des autoévaluations systématiques afin de cerner les objectifs atteints et de remédier à toute détérioration du rendement en matière de sûreté.</w:t>
      </w:r>
    </w:p>
    <w:p w14:paraId="5086F748" w14:textId="77777777" w:rsidR="00E96362" w:rsidRPr="00683937" w:rsidRDefault="00E96362" w:rsidP="00E96362">
      <w:pPr>
        <w:pStyle w:val="HeadingRequirementsorGuidanceLabel"/>
        <w:rPr>
          <w:lang w:val="fr-CA"/>
        </w:rPr>
      </w:pPr>
      <w:bookmarkStart w:id="232" w:name="_Toc140069071"/>
      <w:r w:rsidRPr="00683937">
        <w:rPr>
          <w:lang w:val="fr-CA"/>
        </w:rPr>
        <w:t>Orientation</w:t>
      </w:r>
      <w:bookmarkEnd w:id="232"/>
    </w:p>
    <w:p w14:paraId="5676E035" w14:textId="5BADCAC1" w:rsidR="00E96362" w:rsidRPr="00683937" w:rsidRDefault="00E96362" w:rsidP="00E96362">
      <w:pPr>
        <w:pStyle w:val="BodyText"/>
        <w:rPr>
          <w:lang w:val="fr-CA"/>
        </w:rPr>
      </w:pPr>
      <w:r w:rsidRPr="00683937">
        <w:rPr>
          <w:lang w:val="fr-CA"/>
        </w:rPr>
        <w:t xml:space="preserve">La rétroaction sur l’expérience d’exploitation </w:t>
      </w:r>
      <w:r w:rsidR="00017597">
        <w:rPr>
          <w:lang w:val="fr-CA"/>
        </w:rPr>
        <w:t>non liée aux</w:t>
      </w:r>
      <w:r w:rsidRPr="00683937">
        <w:rPr>
          <w:lang w:val="fr-CA"/>
        </w:rPr>
        <w:t xml:space="preserve"> événements (p. ex. les bonnes pratiques observées</w:t>
      </w:r>
      <w:r w:rsidR="00017597">
        <w:rPr>
          <w:lang w:val="fr-CA"/>
        </w:rPr>
        <w:t>,</w:t>
      </w:r>
      <w:r w:rsidRPr="00683937">
        <w:rPr>
          <w:lang w:val="fr-CA"/>
        </w:rPr>
        <w:t xml:space="preserve"> les leçons retenues </w:t>
      </w:r>
      <w:r>
        <w:rPr>
          <w:lang w:val="fr-CA"/>
        </w:rPr>
        <w:t xml:space="preserve">présentées lors des comptes rendus </w:t>
      </w:r>
      <w:r w:rsidRPr="00683937">
        <w:rPr>
          <w:lang w:val="fr-CA"/>
        </w:rPr>
        <w:t xml:space="preserve">après </w:t>
      </w:r>
      <w:r>
        <w:rPr>
          <w:lang w:val="fr-CA"/>
        </w:rPr>
        <w:t>le travail</w:t>
      </w:r>
      <w:r w:rsidRPr="00683937">
        <w:rPr>
          <w:lang w:val="fr-CA"/>
        </w:rPr>
        <w:t>) devrait être recueillie, analysée et diffusée.</w:t>
      </w:r>
    </w:p>
    <w:p w14:paraId="2984324A" w14:textId="5456E740" w:rsidR="00E96362" w:rsidRPr="00683937" w:rsidRDefault="00E96362" w:rsidP="00E96362">
      <w:pPr>
        <w:pStyle w:val="BodyText"/>
        <w:rPr>
          <w:lang w:val="fr-CA"/>
        </w:rPr>
      </w:pPr>
      <w:r w:rsidRPr="00683937">
        <w:rPr>
          <w:lang w:val="fr-CA"/>
        </w:rPr>
        <w:t>Pour obtenir plus d’information sur la présentation de rapports, veuillez consulter le REGDOC</w:t>
      </w:r>
      <w:r w:rsidRPr="00683937">
        <w:rPr>
          <w:lang w:val="fr-CA"/>
        </w:rPr>
        <w:noBreakHyphen/>
        <w:t xml:space="preserve">3.1.1, </w:t>
      </w:r>
      <w:r w:rsidRPr="00683937">
        <w:rPr>
          <w:i/>
          <w:iCs/>
          <w:lang w:val="fr-CA"/>
        </w:rPr>
        <w:t>Rapports à soumettre par les exploitants de centrales nucléaires</w:t>
      </w:r>
      <w:r w:rsidRPr="00683937">
        <w:rPr>
          <w:lang w:val="fr-CA"/>
        </w:rPr>
        <w:t> [2</w:t>
      </w:r>
      <w:r w:rsidR="006A400F">
        <w:rPr>
          <w:lang w:val="fr-CA"/>
        </w:rPr>
        <w:t>8</w:t>
      </w:r>
      <w:r w:rsidRPr="00683937">
        <w:rPr>
          <w:lang w:val="fr-CA"/>
        </w:rPr>
        <w:t>].</w:t>
      </w:r>
    </w:p>
    <w:p w14:paraId="4F89FCFA" w14:textId="77777777" w:rsidR="00E96362" w:rsidRPr="00683937" w:rsidRDefault="00E96362" w:rsidP="00E96362">
      <w:pPr>
        <w:pStyle w:val="Heading3"/>
        <w:rPr>
          <w:lang w:val="fr-CA"/>
        </w:rPr>
      </w:pPr>
      <w:bookmarkStart w:id="233" w:name="_Toc126324295"/>
      <w:bookmarkStart w:id="234" w:name="_Toc140069072"/>
      <w:bookmarkStart w:id="235" w:name="_Toc140069149"/>
      <w:bookmarkStart w:id="236" w:name="_Toc140069192"/>
      <w:bookmarkStart w:id="237" w:name="_Toc152766324"/>
      <w:r w:rsidRPr="00683937">
        <w:rPr>
          <w:lang w:val="fr-CA"/>
        </w:rPr>
        <w:t>Indicateurs de rendement en matière d’exploitation</w:t>
      </w:r>
      <w:bookmarkEnd w:id="233"/>
      <w:bookmarkEnd w:id="234"/>
      <w:bookmarkEnd w:id="235"/>
      <w:bookmarkEnd w:id="236"/>
      <w:bookmarkEnd w:id="237"/>
    </w:p>
    <w:p w14:paraId="0C13311F" w14:textId="77777777" w:rsidR="001F5DDE" w:rsidRPr="00683937" w:rsidRDefault="001F5DDE" w:rsidP="001F5DDE">
      <w:pPr>
        <w:pStyle w:val="HeadingRequirementsorGuidanceLabel"/>
        <w:rPr>
          <w:lang w:val="fr-CA"/>
        </w:rPr>
      </w:pPr>
      <w:bookmarkStart w:id="238" w:name="_Toc140069073"/>
      <w:r w:rsidRPr="00683937">
        <w:rPr>
          <w:lang w:val="fr-CA"/>
        </w:rPr>
        <w:t>Exigences</w:t>
      </w:r>
    </w:p>
    <w:p w14:paraId="2D7B5469" w14:textId="77777777" w:rsidR="001F5DDE" w:rsidRPr="00683937" w:rsidRDefault="001F5DDE" w:rsidP="001F5DDE">
      <w:pPr>
        <w:pStyle w:val="BodyText"/>
        <w:keepNext/>
        <w:spacing w:after="0"/>
        <w:rPr>
          <w:lang w:val="fr-CA"/>
        </w:rPr>
      </w:pPr>
      <w:r w:rsidRPr="00683937">
        <w:rPr>
          <w:lang w:val="fr-CA"/>
        </w:rPr>
        <w:t>Le titulaire de permis doit élaborer et utiliser des indicateurs de rendement mesurables appropriés qui :</w:t>
      </w:r>
    </w:p>
    <w:p w14:paraId="6F621CD4" w14:textId="77777777" w:rsidR="001F5DDE" w:rsidRPr="00683937" w:rsidRDefault="001F5DDE" w:rsidP="001F5DDE">
      <w:pPr>
        <w:pStyle w:val="BulletList"/>
        <w:keepNext/>
        <w:numPr>
          <w:ilvl w:val="0"/>
          <w:numId w:val="8"/>
        </w:numPr>
        <w:ind w:left="1077" w:hanging="357"/>
        <w:rPr>
          <w:lang w:val="fr-CA"/>
        </w:rPr>
      </w:pPr>
      <w:r w:rsidRPr="00683937">
        <w:rPr>
          <w:lang w:val="fr-CA"/>
        </w:rPr>
        <w:t xml:space="preserve">reflètent le rendement réel (c’est-à-dire des indicateurs </w:t>
      </w:r>
      <w:r>
        <w:rPr>
          <w:lang w:val="fr-CA"/>
        </w:rPr>
        <w:t>tardifs</w:t>
      </w:r>
      <w:r w:rsidRPr="00683937">
        <w:rPr>
          <w:lang w:val="fr-CA"/>
        </w:rPr>
        <w:t>)</w:t>
      </w:r>
    </w:p>
    <w:p w14:paraId="21F8E54E" w14:textId="77777777" w:rsidR="001F5DDE" w:rsidRPr="00683937" w:rsidRDefault="001F5DDE" w:rsidP="001F5DDE">
      <w:pPr>
        <w:pStyle w:val="BulletListLastItem"/>
        <w:numPr>
          <w:ilvl w:val="0"/>
          <w:numId w:val="8"/>
        </w:numPr>
        <w:ind w:left="1080"/>
        <w:rPr>
          <w:lang w:val="fr-CA"/>
        </w:rPr>
      </w:pPr>
      <w:r w:rsidRPr="00683937">
        <w:rPr>
          <w:lang w:val="fr-CA"/>
        </w:rPr>
        <w:t>détectent rapidement un déclin du rendement (c’est-à-dire des indicateurs avancés)</w:t>
      </w:r>
    </w:p>
    <w:p w14:paraId="7BBAD038" w14:textId="77777777" w:rsidR="00E96362" w:rsidRPr="00683937" w:rsidRDefault="00E96362" w:rsidP="00E96362">
      <w:pPr>
        <w:pStyle w:val="HeadingRequirementsorGuidanceLabel"/>
        <w:rPr>
          <w:lang w:val="fr-CA"/>
        </w:rPr>
      </w:pPr>
      <w:r w:rsidRPr="00683937">
        <w:rPr>
          <w:lang w:val="fr-CA"/>
        </w:rPr>
        <w:t>Orientation</w:t>
      </w:r>
      <w:bookmarkEnd w:id="238"/>
    </w:p>
    <w:p w14:paraId="1429680F" w14:textId="77777777" w:rsidR="001F5DDE" w:rsidRPr="00683937" w:rsidRDefault="001F5DDE" w:rsidP="001F5DDE">
      <w:pPr>
        <w:pStyle w:val="BodyText"/>
        <w:rPr>
          <w:lang w:val="fr-CA"/>
        </w:rPr>
      </w:pPr>
      <w:r w:rsidRPr="00683937">
        <w:rPr>
          <w:lang w:val="fr-CA"/>
        </w:rPr>
        <w:t>Les indicateurs de rendement mesurables devraient permettre aux opérateurs et au titulaire de permis d’avoir une idée générale du rendement global de l’installation dotée de réacteurs et de la tendance à cet égard au fil du temps.</w:t>
      </w:r>
    </w:p>
    <w:p w14:paraId="1389D441" w14:textId="77777777" w:rsidR="001F5DDE" w:rsidRPr="00683937" w:rsidRDefault="001F5DDE" w:rsidP="001F5DDE">
      <w:pPr>
        <w:pStyle w:val="BodyText"/>
        <w:rPr>
          <w:lang w:val="fr-CA"/>
        </w:rPr>
      </w:pPr>
      <w:r w:rsidRPr="00683937">
        <w:rPr>
          <w:lang w:val="fr-CA"/>
        </w:rPr>
        <w:t>Les événements de moindre importance et ceux évités de justesse devraient être signalés et examinés en profondeur en tant que signes précurseurs potentiels de la détérioration du rendement en matière de sûreté. Les événements anormaux importants pour la sûreté devraient faire l’objet d’une enquête en profondeur afin qu’on en établisse les causes directes et fondamentales.</w:t>
      </w:r>
    </w:p>
    <w:p w14:paraId="48D2E689" w14:textId="708A86B4" w:rsidR="00E96362" w:rsidRPr="00683937" w:rsidRDefault="00E96362" w:rsidP="00E96362">
      <w:pPr>
        <w:pStyle w:val="BodyText"/>
        <w:keepNext/>
        <w:spacing w:after="0"/>
        <w:rPr>
          <w:lang w:val="fr-CA"/>
        </w:rPr>
      </w:pPr>
      <w:r w:rsidRPr="00683937">
        <w:rPr>
          <w:lang w:val="fr-CA"/>
        </w:rPr>
        <w:t>Pour chaque indicateur de rendement, le titulaire de permis devrait indiquer</w:t>
      </w:r>
      <w:r w:rsidR="001F5DDE">
        <w:rPr>
          <w:lang w:val="fr-CA"/>
        </w:rPr>
        <w:t> </w:t>
      </w:r>
      <w:r w:rsidRPr="00683937">
        <w:rPr>
          <w:lang w:val="fr-CA"/>
        </w:rPr>
        <w:t>:</w:t>
      </w:r>
    </w:p>
    <w:p w14:paraId="5DE2E8B7" w14:textId="77777777" w:rsidR="00E96362" w:rsidRPr="00683937" w:rsidRDefault="00E96362" w:rsidP="00E96362">
      <w:pPr>
        <w:pStyle w:val="BulletList"/>
        <w:keepNext/>
        <w:numPr>
          <w:ilvl w:val="0"/>
          <w:numId w:val="8"/>
        </w:numPr>
        <w:ind w:left="1077" w:hanging="357"/>
        <w:rPr>
          <w:lang w:val="fr-CA"/>
        </w:rPr>
      </w:pPr>
      <w:r w:rsidRPr="00683937">
        <w:rPr>
          <w:lang w:val="fr-CA"/>
        </w:rPr>
        <w:t>les objectifs de rendement</w:t>
      </w:r>
    </w:p>
    <w:p w14:paraId="6506913D" w14:textId="77777777" w:rsidR="00E96362" w:rsidRPr="00683937" w:rsidRDefault="00E96362" w:rsidP="00E96362">
      <w:pPr>
        <w:pStyle w:val="BulletList"/>
        <w:numPr>
          <w:ilvl w:val="0"/>
          <w:numId w:val="8"/>
        </w:numPr>
        <w:ind w:left="1080"/>
        <w:rPr>
          <w:lang w:val="fr-CA"/>
        </w:rPr>
      </w:pPr>
      <w:r w:rsidRPr="00683937">
        <w:rPr>
          <w:lang w:val="fr-CA"/>
        </w:rPr>
        <w:t xml:space="preserve">les seuils de rendement acceptable </w:t>
      </w:r>
    </w:p>
    <w:p w14:paraId="47FECC6B" w14:textId="77777777" w:rsidR="00E96362" w:rsidRPr="00683937" w:rsidRDefault="00E96362" w:rsidP="00E96362">
      <w:pPr>
        <w:pStyle w:val="BulletList"/>
        <w:numPr>
          <w:ilvl w:val="0"/>
          <w:numId w:val="8"/>
        </w:numPr>
        <w:ind w:left="1080"/>
        <w:rPr>
          <w:lang w:val="fr-CA"/>
        </w:rPr>
      </w:pPr>
      <w:r w:rsidRPr="00683937">
        <w:rPr>
          <w:lang w:val="fr-CA"/>
        </w:rPr>
        <w:t>la fréquence du suivi</w:t>
      </w:r>
    </w:p>
    <w:p w14:paraId="14F4F6FF" w14:textId="77777777" w:rsidR="00E96362" w:rsidRPr="00683937" w:rsidRDefault="00E96362" w:rsidP="00E96362">
      <w:pPr>
        <w:pStyle w:val="BulletList"/>
        <w:numPr>
          <w:ilvl w:val="0"/>
          <w:numId w:val="8"/>
        </w:numPr>
        <w:ind w:left="1080"/>
        <w:rPr>
          <w:lang w:val="fr-CA"/>
        </w:rPr>
      </w:pPr>
      <w:r w:rsidRPr="00683937">
        <w:rPr>
          <w:lang w:val="fr-CA"/>
        </w:rPr>
        <w:t>les défis crédibles</w:t>
      </w:r>
    </w:p>
    <w:p w14:paraId="14B44B1D" w14:textId="77777777" w:rsidR="00E96362" w:rsidRPr="00683937" w:rsidRDefault="00E96362" w:rsidP="00E96362">
      <w:pPr>
        <w:pStyle w:val="BulletList"/>
        <w:keepNext/>
        <w:numPr>
          <w:ilvl w:val="0"/>
          <w:numId w:val="8"/>
        </w:numPr>
        <w:ind w:left="1077" w:hanging="357"/>
        <w:rPr>
          <w:lang w:val="fr-CA"/>
        </w:rPr>
      </w:pPr>
      <w:r w:rsidRPr="00683937">
        <w:rPr>
          <w:lang w:val="fr-CA"/>
        </w:rPr>
        <w:t>les attentes quant au rétablissement en cas de rendement rédui</w:t>
      </w:r>
      <w:r>
        <w:rPr>
          <w:lang w:val="fr-CA"/>
        </w:rPr>
        <w:t>t</w:t>
      </w:r>
      <w:r w:rsidRPr="00683937">
        <w:rPr>
          <w:lang w:val="fr-CA"/>
        </w:rPr>
        <w:t xml:space="preserve"> </w:t>
      </w:r>
    </w:p>
    <w:p w14:paraId="63B24D08" w14:textId="77777777" w:rsidR="00E96362" w:rsidRPr="00683937" w:rsidRDefault="00E96362" w:rsidP="00E96362">
      <w:pPr>
        <w:pStyle w:val="BulletListLastItem"/>
        <w:numPr>
          <w:ilvl w:val="0"/>
          <w:numId w:val="8"/>
        </w:numPr>
        <w:ind w:left="1080"/>
        <w:rPr>
          <w:lang w:val="fr-CA"/>
        </w:rPr>
      </w:pPr>
      <w:r w:rsidRPr="00683937">
        <w:rPr>
          <w:lang w:val="fr-CA"/>
        </w:rPr>
        <w:t>les rôles et responsabilités du personnel d’exploitation</w:t>
      </w:r>
    </w:p>
    <w:p w14:paraId="4A422045" w14:textId="165A16EC" w:rsidR="00E96362" w:rsidRPr="00683937" w:rsidRDefault="00E96362" w:rsidP="00E96362">
      <w:pPr>
        <w:pStyle w:val="BodyText"/>
        <w:rPr>
          <w:lang w:val="fr-CA"/>
        </w:rPr>
      </w:pPr>
      <w:r w:rsidRPr="00683937">
        <w:rPr>
          <w:lang w:val="fr-CA"/>
        </w:rPr>
        <w:t>Pour obtenir des exemples d’indicateurs de rendement en matière de sûreté, veuillez consulter le REGDOC</w:t>
      </w:r>
      <w:r w:rsidRPr="00683937">
        <w:rPr>
          <w:lang w:val="fr-CA"/>
        </w:rPr>
        <w:noBreakHyphen/>
        <w:t xml:space="preserve">3.1.1, </w:t>
      </w:r>
      <w:r w:rsidRPr="00683937">
        <w:rPr>
          <w:i/>
          <w:iCs/>
          <w:lang w:val="fr-CA"/>
        </w:rPr>
        <w:t>Rapports à soumettre par les exploitants de centrales nucléaires</w:t>
      </w:r>
      <w:r w:rsidRPr="00683937">
        <w:rPr>
          <w:lang w:val="fr-CA"/>
        </w:rPr>
        <w:t> [2</w:t>
      </w:r>
      <w:r w:rsidR="006A400F">
        <w:rPr>
          <w:lang w:val="fr-CA"/>
        </w:rPr>
        <w:t>8</w:t>
      </w:r>
      <w:r w:rsidRPr="00683937">
        <w:rPr>
          <w:lang w:val="fr-CA"/>
        </w:rPr>
        <w:t>].</w:t>
      </w:r>
    </w:p>
    <w:p w14:paraId="65DCD446" w14:textId="77777777" w:rsidR="00E96362" w:rsidRPr="00683937" w:rsidRDefault="00E96362" w:rsidP="00E96362">
      <w:pPr>
        <w:pStyle w:val="Heading3"/>
        <w:rPr>
          <w:lang w:val="fr-CA"/>
        </w:rPr>
      </w:pPr>
      <w:bookmarkStart w:id="239" w:name="_Toc126324296"/>
      <w:bookmarkStart w:id="240" w:name="_Toc140069074"/>
      <w:bookmarkStart w:id="241" w:name="_Toc140069150"/>
      <w:bookmarkStart w:id="242" w:name="_Toc140069193"/>
      <w:bookmarkStart w:id="243" w:name="_Toc152766325"/>
      <w:r w:rsidRPr="00683937">
        <w:rPr>
          <w:lang w:val="fr-CA"/>
        </w:rPr>
        <w:t xml:space="preserve">Rapports </w:t>
      </w:r>
      <w:r>
        <w:rPr>
          <w:lang w:val="fr-CA"/>
        </w:rPr>
        <w:t>sur l</w:t>
      </w:r>
      <w:r w:rsidRPr="00683937">
        <w:rPr>
          <w:lang w:val="fr-CA"/>
        </w:rPr>
        <w:t>’expérience d’exploitation</w:t>
      </w:r>
      <w:bookmarkEnd w:id="239"/>
      <w:bookmarkEnd w:id="240"/>
      <w:bookmarkEnd w:id="241"/>
      <w:bookmarkEnd w:id="242"/>
      <w:bookmarkEnd w:id="243"/>
    </w:p>
    <w:p w14:paraId="63C88022" w14:textId="77777777" w:rsidR="00E96362" w:rsidRPr="00683937" w:rsidRDefault="00E96362" w:rsidP="00E96362">
      <w:pPr>
        <w:pStyle w:val="HeadingRequirementsorGuidanceLabel"/>
        <w:rPr>
          <w:lang w:val="fr-CA"/>
        </w:rPr>
      </w:pPr>
      <w:bookmarkStart w:id="244" w:name="_Toc140069075"/>
      <w:r w:rsidRPr="00683937">
        <w:rPr>
          <w:lang w:val="fr-CA"/>
        </w:rPr>
        <w:t>Exigences</w:t>
      </w:r>
      <w:bookmarkEnd w:id="244"/>
    </w:p>
    <w:p w14:paraId="1DE8781D" w14:textId="77777777" w:rsidR="00E96362" w:rsidRPr="00683937" w:rsidRDefault="00E96362" w:rsidP="00E96362">
      <w:pPr>
        <w:pStyle w:val="BodyText"/>
        <w:rPr>
          <w:lang w:val="fr-CA"/>
        </w:rPr>
      </w:pPr>
      <w:r w:rsidRPr="00683937">
        <w:rPr>
          <w:lang w:val="fr-CA"/>
        </w:rPr>
        <w:t xml:space="preserve">Le titulaire de permis doit établir et mettre en œuvre un programme pour recueillir, classer, analyser, documenter et communiquer l’expérience d’exploitation (OPEX) au sein de l’installation, de même que pour établir les tendances qui se dégagent et présenter des rapports </w:t>
      </w:r>
      <w:r>
        <w:rPr>
          <w:lang w:val="fr-CA"/>
        </w:rPr>
        <w:t>sur l</w:t>
      </w:r>
      <w:r w:rsidRPr="00683937">
        <w:rPr>
          <w:lang w:val="fr-CA"/>
        </w:rPr>
        <w:t xml:space="preserve">’OPEX.  </w:t>
      </w:r>
    </w:p>
    <w:p w14:paraId="7A54A941" w14:textId="425C86A1" w:rsidR="00E96362" w:rsidRPr="00683937" w:rsidRDefault="00E96362" w:rsidP="00E96362">
      <w:pPr>
        <w:pStyle w:val="BodyText"/>
        <w:keepNext/>
        <w:spacing w:after="0"/>
        <w:rPr>
          <w:lang w:val="fr-CA"/>
        </w:rPr>
      </w:pPr>
      <w:r w:rsidRPr="00683937">
        <w:rPr>
          <w:lang w:val="fr-CA"/>
        </w:rPr>
        <w:t>Le titulaire de permis doit favoriser une culture qui encourage et appuie le signalement de tous les événements qui se rapportent à la sûreté, notamment les suivants</w:t>
      </w:r>
      <w:r w:rsidR="001F5DDE">
        <w:rPr>
          <w:lang w:val="fr-CA"/>
        </w:rPr>
        <w:t> </w:t>
      </w:r>
      <w:r w:rsidRPr="00683937">
        <w:rPr>
          <w:lang w:val="fr-CA"/>
        </w:rPr>
        <w:t>:</w:t>
      </w:r>
    </w:p>
    <w:p w14:paraId="1CEE0FB6"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événements de moindre importance et ceux évités de justesse</w:t>
      </w:r>
    </w:p>
    <w:p w14:paraId="73DD7E93"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problèmes potentiels liés à la défaillance de l’équipement</w:t>
      </w:r>
    </w:p>
    <w:p w14:paraId="134DB5DB"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es lacunes dans la performance humaine</w:t>
      </w:r>
    </w:p>
    <w:p w14:paraId="27464E21"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manquements procéduraux</w:t>
      </w:r>
    </w:p>
    <w:p w14:paraId="4F300AF9"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es manques d’uniformité dans la documentation</w:t>
      </w:r>
    </w:p>
    <w:p w14:paraId="0121DB23" w14:textId="77777777" w:rsidR="00E96362" w:rsidRPr="00683937" w:rsidRDefault="00E96362" w:rsidP="00E96362">
      <w:pPr>
        <w:pStyle w:val="Heading3"/>
        <w:rPr>
          <w:lang w:val="fr-CA"/>
        </w:rPr>
      </w:pPr>
      <w:bookmarkStart w:id="245" w:name="_Toc126324297"/>
      <w:bookmarkStart w:id="246" w:name="_Toc140069076"/>
      <w:bookmarkStart w:id="247" w:name="_Toc140069151"/>
      <w:bookmarkStart w:id="248" w:name="_Toc140069194"/>
      <w:bookmarkStart w:id="249" w:name="_Toc152766326"/>
      <w:r w:rsidRPr="00683937">
        <w:rPr>
          <w:lang w:val="fr-CA"/>
        </w:rPr>
        <w:t>Examen de l’expérience d’exploitation</w:t>
      </w:r>
      <w:bookmarkEnd w:id="245"/>
      <w:bookmarkEnd w:id="246"/>
      <w:bookmarkEnd w:id="247"/>
      <w:bookmarkEnd w:id="248"/>
      <w:bookmarkEnd w:id="249"/>
    </w:p>
    <w:p w14:paraId="0AE077AE" w14:textId="77777777" w:rsidR="00E96362" w:rsidRPr="00683937" w:rsidRDefault="00E96362" w:rsidP="00E96362">
      <w:pPr>
        <w:pStyle w:val="HeadingRequirementsorGuidanceLabel"/>
        <w:rPr>
          <w:lang w:val="fr-CA"/>
        </w:rPr>
      </w:pPr>
      <w:bookmarkStart w:id="250" w:name="_Toc140069077"/>
      <w:r w:rsidRPr="00683937">
        <w:rPr>
          <w:lang w:val="fr-CA"/>
        </w:rPr>
        <w:t>Orientation</w:t>
      </w:r>
      <w:bookmarkEnd w:id="250"/>
    </w:p>
    <w:p w14:paraId="605BF6E6" w14:textId="77777777" w:rsidR="00E96362" w:rsidRPr="00683937" w:rsidRDefault="00E96362" w:rsidP="00E96362">
      <w:pPr>
        <w:pStyle w:val="BodyText"/>
        <w:rPr>
          <w:lang w:val="fr-CA"/>
        </w:rPr>
      </w:pPr>
      <w:r w:rsidRPr="00683937">
        <w:rPr>
          <w:lang w:val="fr-CA"/>
        </w:rPr>
        <w:t>Il est important que les leçons pertinentes apprises d’autres industries soient prises en compte, s’il y a lieu. Le titulaire de permis devrait obtenir et évaluer les renseignements disponibles sur l’expérience d’exploitation pertinente dans d’autres installations dotées de réacteurs (y compris sur les événements de moindre importance et ceux évités de justesse) afin d’apprendre et d’incorporer des leçons.</w:t>
      </w:r>
    </w:p>
    <w:p w14:paraId="431BACBC" w14:textId="67A3D4B2" w:rsidR="00E96362" w:rsidRPr="00683937" w:rsidRDefault="00E96362" w:rsidP="00E96362">
      <w:pPr>
        <w:pStyle w:val="BodyText"/>
        <w:rPr>
          <w:lang w:val="fr-CA"/>
        </w:rPr>
      </w:pPr>
      <w:r w:rsidRPr="00683937">
        <w:rPr>
          <w:lang w:val="fr-CA"/>
        </w:rPr>
        <w:t>Le titulaire de permis devrait participer à l’échange d’expérience au sein des cadres nationaux et internationaux concernant la rétroaction sur l’OPEX. Il devrait également tenir compte de la rétroaction sur l’OPEX découlant des activités d’entretien, comme le prévoit le REGDOC</w:t>
      </w:r>
      <w:r w:rsidRPr="00683937">
        <w:rPr>
          <w:lang w:val="fr-CA"/>
        </w:rPr>
        <w:noBreakHyphen/>
        <w:t xml:space="preserve">2.6.2, </w:t>
      </w:r>
      <w:r w:rsidRPr="00683937">
        <w:rPr>
          <w:i/>
          <w:iCs/>
          <w:lang w:val="fr-CA"/>
        </w:rPr>
        <w:t>Programmes d’entretien des centrales nucléaires</w:t>
      </w:r>
      <w:r w:rsidRPr="00683937">
        <w:rPr>
          <w:lang w:val="fr-CA"/>
        </w:rPr>
        <w:t> [</w:t>
      </w:r>
      <w:r w:rsidR="00A0465B">
        <w:rPr>
          <w:lang w:val="fr-CA"/>
        </w:rPr>
        <w:t>20</w:t>
      </w:r>
      <w:r w:rsidRPr="00683937">
        <w:rPr>
          <w:lang w:val="fr-CA"/>
        </w:rPr>
        <w:t>].</w:t>
      </w:r>
    </w:p>
    <w:p w14:paraId="17BE7BEB" w14:textId="77777777" w:rsidR="00E96362" w:rsidRPr="00683937" w:rsidRDefault="00E96362" w:rsidP="00E96362">
      <w:pPr>
        <w:pStyle w:val="BodyText"/>
        <w:rPr>
          <w:lang w:val="fr-CA"/>
        </w:rPr>
      </w:pPr>
      <w:r w:rsidRPr="00683937">
        <w:rPr>
          <w:lang w:val="fr-CA"/>
        </w:rPr>
        <w:t xml:space="preserve">Lorsque la situation s’y prête, le titulaire de permis devrait maintenir une </w:t>
      </w:r>
      <w:r>
        <w:rPr>
          <w:lang w:val="fr-CA"/>
        </w:rPr>
        <w:t>relation</w:t>
      </w:r>
      <w:r w:rsidRPr="00683937">
        <w:rPr>
          <w:lang w:val="fr-CA"/>
        </w:rPr>
        <w:t xml:space="preserve"> avec les organisations prenant part à la conception et à la construction de l’installation dotée de réacteurs (p. ex. les fabricants, les organismes de recherche et les concepteurs). L’objectif de cette </w:t>
      </w:r>
      <w:r>
        <w:rPr>
          <w:lang w:val="fr-CA"/>
        </w:rPr>
        <w:t>relation</w:t>
      </w:r>
      <w:r w:rsidRPr="00683937">
        <w:rPr>
          <w:lang w:val="fr-CA"/>
        </w:rPr>
        <w:t xml:space="preserve"> est d’échanger de la rétroaction sur l’</w:t>
      </w:r>
      <w:r>
        <w:rPr>
          <w:lang w:val="fr-CA"/>
        </w:rPr>
        <w:t>OPEX</w:t>
      </w:r>
      <w:r w:rsidRPr="00683937">
        <w:rPr>
          <w:lang w:val="fr-CA"/>
        </w:rPr>
        <w:t> et d’obtenir des conseils en cas de défaillance de l’équipement ou d’événement anormal.</w:t>
      </w:r>
    </w:p>
    <w:p w14:paraId="01A4B520" w14:textId="77777777" w:rsidR="00E96362" w:rsidRPr="00683937" w:rsidRDefault="00E96362" w:rsidP="00E96362">
      <w:pPr>
        <w:pStyle w:val="Heading2"/>
        <w:rPr>
          <w:lang w:val="fr-CA"/>
        </w:rPr>
      </w:pPr>
      <w:bookmarkStart w:id="251" w:name="_Toc126324298"/>
      <w:bookmarkStart w:id="252" w:name="_Toc140069078"/>
      <w:bookmarkStart w:id="253" w:name="_Toc140069152"/>
      <w:bookmarkStart w:id="254" w:name="_Toc140069195"/>
      <w:bookmarkStart w:id="255" w:name="_Toc152766327"/>
      <w:r w:rsidRPr="00683937">
        <w:rPr>
          <w:lang w:val="fr-CA"/>
        </w:rPr>
        <w:t>Gestion des arrêts</w:t>
      </w:r>
      <w:bookmarkEnd w:id="251"/>
      <w:bookmarkEnd w:id="252"/>
      <w:bookmarkEnd w:id="253"/>
      <w:bookmarkEnd w:id="254"/>
      <w:bookmarkEnd w:id="255"/>
    </w:p>
    <w:p w14:paraId="26C53C6E" w14:textId="77777777" w:rsidR="00E96362" w:rsidRPr="00683937" w:rsidRDefault="00E96362" w:rsidP="00E96362">
      <w:pPr>
        <w:pStyle w:val="BodyText"/>
        <w:rPr>
          <w:lang w:val="fr-CA"/>
        </w:rPr>
      </w:pPr>
      <w:r w:rsidRPr="00683937">
        <w:rPr>
          <w:lang w:val="fr-CA"/>
        </w:rPr>
        <w:t>Pour les besoins du présent document d’application de la réglementation, la gestion des arrêts s’entend des processus de planification, d’ordonnancement et d’exécution des essais, des inspections, de l’entretien et des mesures correctives au cours de l’arrêt d’un réacteur, y compris les tâches de préparation de l’arrêt effectuées pendant l’exploitation ainsi que les arrêts pour réfection considérable.</w:t>
      </w:r>
    </w:p>
    <w:p w14:paraId="77AC1D74" w14:textId="77777777" w:rsidR="00E96362" w:rsidRPr="00683937" w:rsidRDefault="00E96362" w:rsidP="00E96362">
      <w:pPr>
        <w:pStyle w:val="HeadingRequirementsorGuidanceLabel"/>
        <w:rPr>
          <w:lang w:val="fr-CA"/>
        </w:rPr>
      </w:pPr>
      <w:bookmarkStart w:id="256" w:name="_Toc140069079"/>
      <w:r w:rsidRPr="00683937">
        <w:rPr>
          <w:lang w:val="fr-CA"/>
        </w:rPr>
        <w:t>Exigences</w:t>
      </w:r>
      <w:bookmarkEnd w:id="256"/>
    </w:p>
    <w:p w14:paraId="20F2DA26" w14:textId="33F6A44F" w:rsidR="00E96362" w:rsidRPr="00683937" w:rsidRDefault="00E96362" w:rsidP="00E96362">
      <w:pPr>
        <w:pStyle w:val="BodyText"/>
        <w:keepNext/>
        <w:spacing w:after="0"/>
        <w:rPr>
          <w:lang w:val="fr-CA"/>
        </w:rPr>
      </w:pPr>
      <w:r w:rsidRPr="00683937">
        <w:rPr>
          <w:lang w:val="fr-CA"/>
        </w:rPr>
        <w:t>Le titulaire de permis doit établir des dispositions pour assurer l’efficacité du rendement, de la planification et du contrôle des activités de travail au cours d’un arrêt. Ces dispositions doivent préciser, au minimum, ce qui suit</w:t>
      </w:r>
      <w:r w:rsidR="001F5DDE">
        <w:rPr>
          <w:lang w:val="fr-CA"/>
        </w:rPr>
        <w:t> </w:t>
      </w:r>
      <w:r w:rsidRPr="00683937">
        <w:rPr>
          <w:lang w:val="fr-CA"/>
        </w:rPr>
        <w:t>:</w:t>
      </w:r>
    </w:p>
    <w:p w14:paraId="1FA7AE5C"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rôles, responsabilités et obligations en matière de gestion des arrêts</w:t>
      </w:r>
    </w:p>
    <w:p w14:paraId="7ED8CEFE"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a planification de l’arrêt et l’établissement de sa portée;</w:t>
      </w:r>
    </w:p>
    <w:p w14:paraId="5E89E2BA"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 processus de redémarrage du réacteur, dont les vérifications préalables au redémarrage</w:t>
      </w:r>
    </w:p>
    <w:p w14:paraId="6ACBEE88"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 processus de clôture d’un arrêt</w:t>
      </w:r>
    </w:p>
    <w:p w14:paraId="2C8AC600" w14:textId="180A3076" w:rsidR="00E96362" w:rsidRPr="00683937" w:rsidRDefault="00E96362" w:rsidP="00E96362">
      <w:pPr>
        <w:pStyle w:val="BodyText"/>
        <w:keepNext/>
        <w:spacing w:after="0"/>
        <w:rPr>
          <w:lang w:val="fr-CA"/>
        </w:rPr>
      </w:pPr>
      <w:r w:rsidRPr="00683937">
        <w:rPr>
          <w:lang w:val="fr-CA"/>
        </w:rPr>
        <w:t>Le titulaire de permis doit s’assurer que</w:t>
      </w:r>
      <w:r w:rsidR="001F5DDE">
        <w:rPr>
          <w:lang w:val="fr-CA"/>
        </w:rPr>
        <w:t> </w:t>
      </w:r>
      <w:r w:rsidRPr="00683937">
        <w:rPr>
          <w:lang w:val="fr-CA"/>
        </w:rPr>
        <w:t>:</w:t>
      </w:r>
    </w:p>
    <w:p w14:paraId="62DACBBC" w14:textId="77777777" w:rsidR="00E96362" w:rsidRPr="00683937" w:rsidRDefault="00E96362" w:rsidP="00E96362">
      <w:pPr>
        <w:pStyle w:val="BulletList"/>
        <w:keepNext/>
        <w:numPr>
          <w:ilvl w:val="0"/>
          <w:numId w:val="8"/>
        </w:numPr>
        <w:ind w:left="1077" w:hanging="357"/>
        <w:rPr>
          <w:lang w:val="fr-CA"/>
        </w:rPr>
      </w:pPr>
      <w:r w:rsidRPr="00683937">
        <w:rPr>
          <w:lang w:val="fr-CA"/>
        </w:rPr>
        <w:t>la défense en profondeur et les marges de sûreté sont maintenues au cours d’un arrêt</w:t>
      </w:r>
    </w:p>
    <w:p w14:paraId="7EC6CE0D" w14:textId="59F1D676" w:rsidR="00E96362" w:rsidRPr="00683937" w:rsidRDefault="00E96362" w:rsidP="00E96362">
      <w:pPr>
        <w:pStyle w:val="BulletList"/>
        <w:keepNext/>
        <w:numPr>
          <w:ilvl w:val="0"/>
          <w:numId w:val="8"/>
        </w:numPr>
        <w:ind w:left="1077" w:hanging="357"/>
        <w:rPr>
          <w:lang w:val="fr-CA"/>
        </w:rPr>
      </w:pPr>
      <w:r w:rsidRPr="00683937">
        <w:rPr>
          <w:lang w:val="fr-CA"/>
        </w:rPr>
        <w:t>les éléments suivants sont incorporés à titre de parties essentielles des programmes d’arrêt et de la planification des arrêts</w:t>
      </w:r>
      <w:r w:rsidR="001F5DDE">
        <w:rPr>
          <w:lang w:val="fr-CA"/>
        </w:rPr>
        <w:t> </w:t>
      </w:r>
      <w:r w:rsidRPr="00683937">
        <w:rPr>
          <w:lang w:val="fr-CA"/>
        </w:rPr>
        <w:t>: l’optimisation de la radioprotection; la santé et sécurité classiques; la réduction des déchets et le contrôle des risques chimiques</w:t>
      </w:r>
    </w:p>
    <w:p w14:paraId="2BDBB200" w14:textId="77777777" w:rsidR="00E96362" w:rsidRPr="00683937" w:rsidRDefault="00E96362" w:rsidP="00E96362">
      <w:pPr>
        <w:pStyle w:val="BulletListLastItem"/>
        <w:numPr>
          <w:ilvl w:val="0"/>
          <w:numId w:val="8"/>
        </w:numPr>
        <w:ind w:left="1080"/>
        <w:rPr>
          <w:lang w:val="fr-CA"/>
        </w:rPr>
      </w:pPr>
      <w:r w:rsidRPr="00683937">
        <w:rPr>
          <w:lang w:val="fr-CA"/>
        </w:rPr>
        <w:t xml:space="preserve">les objectifs énoncés dans les deux premiers points de cette liste sont communiqués clairement </w:t>
      </w:r>
      <w:r>
        <w:rPr>
          <w:lang w:val="fr-CA"/>
        </w:rPr>
        <w:t>à tous les</w:t>
      </w:r>
      <w:r w:rsidRPr="00683937">
        <w:rPr>
          <w:lang w:val="fr-CA"/>
        </w:rPr>
        <w:t xml:space="preserve"> travailleurs </w:t>
      </w:r>
      <w:r>
        <w:rPr>
          <w:lang w:val="fr-CA"/>
        </w:rPr>
        <w:t>concernés</w:t>
      </w:r>
      <w:r w:rsidRPr="00683937">
        <w:rPr>
          <w:lang w:val="fr-CA"/>
        </w:rPr>
        <w:t xml:space="preserve"> de l’installation</w:t>
      </w:r>
    </w:p>
    <w:p w14:paraId="2648656C" w14:textId="2DBD6487" w:rsidR="00E96362" w:rsidRPr="00683937" w:rsidRDefault="00E96362" w:rsidP="00E96362">
      <w:pPr>
        <w:pStyle w:val="BodyText"/>
        <w:keepNext/>
        <w:spacing w:after="0"/>
        <w:rPr>
          <w:lang w:val="fr-CA"/>
        </w:rPr>
      </w:pPr>
      <w:r w:rsidRPr="00683937">
        <w:rPr>
          <w:lang w:val="fr-CA"/>
        </w:rPr>
        <w:t>Le titulaire de permis doit s’assurer que les dispositions sur la planification de la gestion des arrêts comprennent des dispositions qui concernent ce qui suit</w:t>
      </w:r>
      <w:r w:rsidR="001F5DDE">
        <w:rPr>
          <w:lang w:val="fr-CA"/>
        </w:rPr>
        <w:t> </w:t>
      </w:r>
      <w:r w:rsidRPr="00683937">
        <w:rPr>
          <w:lang w:val="fr-CA"/>
        </w:rPr>
        <w:t>:</w:t>
      </w:r>
    </w:p>
    <w:p w14:paraId="42679549"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es sources d’alimentation redondantes; les sources froides; la capacité de garantir l’intégrité du confinement; le refroidissement de la piscine d</w:t>
      </w:r>
      <w:r>
        <w:rPr>
          <w:lang w:val="fr-CA"/>
        </w:rPr>
        <w:t>e stockage</w:t>
      </w:r>
      <w:r w:rsidRPr="00683937">
        <w:rPr>
          <w:lang w:val="fr-CA"/>
        </w:rPr>
        <w:t xml:space="preserve"> (c’est-à-dire la piscine de combustible usé</w:t>
      </w:r>
      <w:r>
        <w:rPr>
          <w:lang w:val="fr-CA"/>
        </w:rPr>
        <w:t>, épuisé ou irradié</w:t>
      </w:r>
      <w:r w:rsidRPr="00683937">
        <w:rPr>
          <w:lang w:val="fr-CA"/>
        </w:rPr>
        <w:t>) si la conception en prévoit une; les activités de manutention du combustible; et l’interdépendance des systèmes importants pour la sûreté et des systèmes auxiliaires</w:t>
      </w:r>
    </w:p>
    <w:p w14:paraId="1AD6DC13"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a conservation du contrôle des systèmes et des systèmes redondants qui sont nécessaires pour maintenir l’installation dans un état d’arrêt sûr</w:t>
      </w:r>
    </w:p>
    <w:p w14:paraId="3FC5947A" w14:textId="55C66BF4" w:rsidR="00E96362" w:rsidRPr="00683937" w:rsidRDefault="00E96362" w:rsidP="00E96362">
      <w:pPr>
        <w:pStyle w:val="BodyText"/>
        <w:keepNext/>
        <w:spacing w:after="0"/>
        <w:rPr>
          <w:lang w:val="fr-CA"/>
        </w:rPr>
      </w:pPr>
      <w:r w:rsidRPr="00683937">
        <w:rPr>
          <w:lang w:val="fr-CA"/>
        </w:rPr>
        <w:t>Le titulaire de permis doit s’assurer que</w:t>
      </w:r>
      <w:r w:rsidR="001F5DDE">
        <w:rPr>
          <w:lang w:val="fr-CA"/>
        </w:rPr>
        <w:t> </w:t>
      </w:r>
      <w:r w:rsidRPr="00683937">
        <w:rPr>
          <w:lang w:val="fr-CA"/>
        </w:rPr>
        <w:t>:</w:t>
      </w:r>
    </w:p>
    <w:p w14:paraId="19DDE26A" w14:textId="77777777" w:rsidR="00E96362" w:rsidRPr="00683937" w:rsidRDefault="00E96362" w:rsidP="00E96362">
      <w:pPr>
        <w:pStyle w:val="BulletList"/>
        <w:keepNext/>
        <w:numPr>
          <w:ilvl w:val="0"/>
          <w:numId w:val="8"/>
        </w:numPr>
        <w:ind w:left="1077" w:hanging="357"/>
        <w:rPr>
          <w:lang w:val="fr-CA"/>
        </w:rPr>
      </w:pPr>
      <w:r w:rsidRPr="00683937">
        <w:rPr>
          <w:lang w:val="fr-CA"/>
        </w:rPr>
        <w:t>la réactivité du réacteur est contrôlée et surveillée en tout temps au cours de l’arrêt</w:t>
      </w:r>
    </w:p>
    <w:p w14:paraId="7043CB08" w14:textId="77777777" w:rsidR="00E96362" w:rsidRPr="00683937" w:rsidRDefault="00E96362" w:rsidP="00E96362">
      <w:pPr>
        <w:pStyle w:val="BulletListLastItem"/>
        <w:numPr>
          <w:ilvl w:val="0"/>
          <w:numId w:val="8"/>
        </w:numPr>
        <w:ind w:left="1080"/>
        <w:rPr>
          <w:lang w:val="fr-CA"/>
        </w:rPr>
      </w:pPr>
      <w:r w:rsidRPr="00683937">
        <w:rPr>
          <w:lang w:val="fr-CA"/>
        </w:rPr>
        <w:t>les garanties d’arrêt du réacteur (GAR) sont maintenues dans une configuration approuvée de sorte à assurer l’état d’arrêt garanti (EAG)</w:t>
      </w:r>
    </w:p>
    <w:p w14:paraId="73D0D987" w14:textId="77777777" w:rsidR="00E96362" w:rsidRPr="00683937" w:rsidRDefault="00E96362" w:rsidP="00E96362">
      <w:pPr>
        <w:pStyle w:val="HeadingRequirementsorGuidanceLabel"/>
        <w:rPr>
          <w:lang w:val="fr-CA"/>
        </w:rPr>
      </w:pPr>
      <w:bookmarkStart w:id="257" w:name="_Toc140069080"/>
      <w:r w:rsidRPr="00683937">
        <w:rPr>
          <w:lang w:val="fr-CA"/>
        </w:rPr>
        <w:t>Orientation</w:t>
      </w:r>
      <w:bookmarkEnd w:id="257"/>
    </w:p>
    <w:p w14:paraId="2E361857" w14:textId="77777777" w:rsidR="00E96362" w:rsidRPr="00683937" w:rsidRDefault="00E96362" w:rsidP="00E96362">
      <w:pPr>
        <w:pStyle w:val="BodyText"/>
        <w:rPr>
          <w:lang w:val="fr-CA"/>
        </w:rPr>
      </w:pPr>
      <w:r w:rsidRPr="00683937">
        <w:rPr>
          <w:lang w:val="fr-CA"/>
        </w:rPr>
        <w:t>Une partie considérable des activités d’entretien est effectuée lorsque l’installation est à l’arrêt</w:t>
      </w:r>
      <w:r>
        <w:rPr>
          <w:lang w:val="fr-CA"/>
        </w:rPr>
        <w:t>. C</w:t>
      </w:r>
      <w:r w:rsidRPr="00683937">
        <w:rPr>
          <w:lang w:val="fr-CA"/>
        </w:rPr>
        <w:t xml:space="preserve">ela dit, des travaux d’entretien peuvent être planifiés et exécutés dans un contexte d’exploitation en puissance pourvu qu’une défense en profondeur adéquate soit maintenue. </w:t>
      </w:r>
    </w:p>
    <w:p w14:paraId="5C8D13EC" w14:textId="77777777" w:rsidR="0003045D" w:rsidRPr="00DC6D00" w:rsidRDefault="00E96362" w:rsidP="0003045D">
      <w:pPr>
        <w:pStyle w:val="BodyText"/>
        <w:rPr>
          <w:lang w:val="fr-CA"/>
        </w:rPr>
      </w:pPr>
      <w:r w:rsidRPr="00683937">
        <w:rPr>
          <w:lang w:val="fr-CA"/>
        </w:rPr>
        <w:t>Le titulaire de permis devrait considérer les indicateurs de rendement comme faisant partie de ses dispositions sur la planification des arrêts.</w:t>
      </w:r>
    </w:p>
    <w:p w14:paraId="6C5084AA" w14:textId="786BF3A1" w:rsidR="00E96362" w:rsidRPr="00C97FE8" w:rsidRDefault="00C97FE8" w:rsidP="0003045D">
      <w:pPr>
        <w:pStyle w:val="BodyText"/>
        <w:rPr>
          <w:lang w:val="fr-CA"/>
        </w:rPr>
      </w:pPr>
      <w:r w:rsidRPr="00E03AB1">
        <w:rPr>
          <w:lang w:val="fr-CA"/>
        </w:rPr>
        <w:t>Le titulaire de permis devrait s</w:t>
      </w:r>
      <w:r>
        <w:rPr>
          <w:lang w:val="fr-CA"/>
        </w:rPr>
        <w:t>’</w:t>
      </w:r>
      <w:r w:rsidRPr="00E03AB1">
        <w:rPr>
          <w:lang w:val="fr-CA"/>
        </w:rPr>
        <w:t>assurer qu</w:t>
      </w:r>
      <w:r>
        <w:rPr>
          <w:lang w:val="fr-CA"/>
        </w:rPr>
        <w:t>’</w:t>
      </w:r>
      <w:r w:rsidRPr="00E03AB1">
        <w:rPr>
          <w:lang w:val="fr-CA"/>
        </w:rPr>
        <w:t>une défense en profondeur adéquate est en place lors de la planification et de l</w:t>
      </w:r>
      <w:r>
        <w:rPr>
          <w:lang w:val="fr-CA"/>
        </w:rPr>
        <w:t>’</w:t>
      </w:r>
      <w:r w:rsidRPr="00E03AB1">
        <w:rPr>
          <w:lang w:val="fr-CA"/>
        </w:rPr>
        <w:t>exécution des activités d</w:t>
      </w:r>
      <w:r>
        <w:rPr>
          <w:lang w:val="fr-CA"/>
        </w:rPr>
        <w:t>’</w:t>
      </w:r>
      <w:r w:rsidRPr="00E03AB1">
        <w:rPr>
          <w:lang w:val="fr-CA"/>
        </w:rPr>
        <w:t>essai, d</w:t>
      </w:r>
      <w:r>
        <w:rPr>
          <w:lang w:val="fr-CA"/>
        </w:rPr>
        <w:t>’</w:t>
      </w:r>
      <w:r w:rsidRPr="00E03AB1">
        <w:rPr>
          <w:lang w:val="fr-CA"/>
        </w:rPr>
        <w:t>entretien et de surveillance pendant un arrêt. Le titulaire de permis peut utiliser l</w:t>
      </w:r>
      <w:r>
        <w:rPr>
          <w:lang w:val="fr-CA"/>
        </w:rPr>
        <w:t>’</w:t>
      </w:r>
      <w:r w:rsidRPr="00E03AB1">
        <w:rPr>
          <w:lang w:val="fr-CA"/>
        </w:rPr>
        <w:t>étude probabiliste de sûreté (EPS), y compris les outils de suivi du risque, pour évaluer et gérer les effets de l</w:t>
      </w:r>
      <w:r>
        <w:rPr>
          <w:lang w:val="fr-CA"/>
        </w:rPr>
        <w:t>’</w:t>
      </w:r>
      <w:r w:rsidRPr="00E03AB1">
        <w:rPr>
          <w:lang w:val="fr-CA"/>
        </w:rPr>
        <w:t>indisponibilité des SSC et pour démontrer que le risque n</w:t>
      </w:r>
      <w:r>
        <w:rPr>
          <w:lang w:val="fr-CA"/>
        </w:rPr>
        <w:t>’</w:t>
      </w:r>
      <w:r w:rsidRPr="00E03AB1">
        <w:rPr>
          <w:lang w:val="fr-CA"/>
        </w:rPr>
        <w:t>a pas augmenté de manière significative.</w:t>
      </w:r>
    </w:p>
    <w:p w14:paraId="67FE5D66" w14:textId="686F981D" w:rsidR="00E96362" w:rsidRPr="00683937" w:rsidRDefault="00E96362" w:rsidP="00E96362">
      <w:pPr>
        <w:pStyle w:val="BodyText"/>
        <w:keepNext/>
        <w:spacing w:after="0"/>
        <w:rPr>
          <w:lang w:val="fr-CA"/>
        </w:rPr>
      </w:pPr>
      <w:r w:rsidRPr="00683937">
        <w:rPr>
          <w:lang w:val="fr-CA"/>
        </w:rPr>
        <w:t>Pour obtenir plus d’information, veuillez consulter les documents suivants</w:t>
      </w:r>
      <w:r w:rsidR="00B15663">
        <w:rPr>
          <w:lang w:val="fr-CA"/>
        </w:rPr>
        <w:t> </w:t>
      </w:r>
      <w:r w:rsidRPr="00683937">
        <w:rPr>
          <w:lang w:val="fr-CA"/>
        </w:rPr>
        <w:t>:</w:t>
      </w:r>
    </w:p>
    <w:p w14:paraId="245204C6" w14:textId="70DA660E" w:rsidR="00E96362" w:rsidRPr="00683937" w:rsidRDefault="00E96362" w:rsidP="00E96362">
      <w:pPr>
        <w:pStyle w:val="BulletList"/>
        <w:keepNext/>
        <w:numPr>
          <w:ilvl w:val="0"/>
          <w:numId w:val="8"/>
        </w:numPr>
        <w:ind w:left="1077" w:hanging="357"/>
        <w:rPr>
          <w:lang w:val="fr-CA"/>
        </w:rPr>
      </w:pPr>
      <w:r w:rsidRPr="00683937">
        <w:rPr>
          <w:lang w:val="fr-CA"/>
        </w:rPr>
        <w:t>REGDOC</w:t>
      </w:r>
      <w:r w:rsidRPr="00683937">
        <w:rPr>
          <w:lang w:val="fr-CA"/>
        </w:rPr>
        <w:noBreakHyphen/>
        <w:t xml:space="preserve">2.6.2, </w:t>
      </w:r>
      <w:r w:rsidRPr="00683937">
        <w:rPr>
          <w:i/>
          <w:iCs/>
          <w:lang w:val="fr-CA"/>
        </w:rPr>
        <w:t>Programmes d’entretien des centrales nucléaires</w:t>
      </w:r>
      <w:r w:rsidRPr="00683937">
        <w:rPr>
          <w:lang w:val="fr-CA"/>
        </w:rPr>
        <w:t> [</w:t>
      </w:r>
      <w:r w:rsidR="00A0465B">
        <w:rPr>
          <w:lang w:val="fr-CA"/>
        </w:rPr>
        <w:t>20</w:t>
      </w:r>
      <w:r w:rsidRPr="00683937">
        <w:rPr>
          <w:lang w:val="fr-CA"/>
        </w:rPr>
        <w:t>]</w:t>
      </w:r>
    </w:p>
    <w:p w14:paraId="798DD6ED" w14:textId="490711C3" w:rsidR="00E96362" w:rsidRPr="00683937" w:rsidRDefault="00E96362" w:rsidP="00E96362">
      <w:pPr>
        <w:pStyle w:val="BulletList"/>
        <w:keepNext/>
        <w:numPr>
          <w:ilvl w:val="0"/>
          <w:numId w:val="8"/>
        </w:numPr>
        <w:ind w:left="1077" w:hanging="357"/>
        <w:rPr>
          <w:lang w:val="fr-CA"/>
        </w:rPr>
      </w:pPr>
      <w:r w:rsidRPr="00683937">
        <w:rPr>
          <w:lang w:val="fr-CA"/>
        </w:rPr>
        <w:t xml:space="preserve">IAEA, SSR 2/2 (Rev 1), </w:t>
      </w:r>
      <w:r w:rsidRPr="00683937">
        <w:rPr>
          <w:i/>
          <w:iCs/>
          <w:lang w:val="fr-CA"/>
        </w:rPr>
        <w:t>Sûreté des centrales nucléaires</w:t>
      </w:r>
      <w:r w:rsidR="00B15663">
        <w:rPr>
          <w:i/>
          <w:iCs/>
          <w:lang w:val="fr-CA"/>
        </w:rPr>
        <w:t> </w:t>
      </w:r>
      <w:r w:rsidRPr="00683937">
        <w:rPr>
          <w:i/>
          <w:iCs/>
          <w:lang w:val="fr-CA"/>
        </w:rPr>
        <w:t>: mise en service et exploitation</w:t>
      </w:r>
      <w:r w:rsidRPr="00683937">
        <w:rPr>
          <w:lang w:val="fr-CA"/>
        </w:rPr>
        <w:t> [3]</w:t>
      </w:r>
    </w:p>
    <w:p w14:paraId="517B2860" w14:textId="4894579E" w:rsidR="00E96362" w:rsidRPr="00683937" w:rsidRDefault="00E96362" w:rsidP="00E96362">
      <w:pPr>
        <w:pStyle w:val="BulletListLastItem"/>
        <w:numPr>
          <w:ilvl w:val="0"/>
          <w:numId w:val="8"/>
        </w:numPr>
        <w:ind w:left="1080"/>
        <w:rPr>
          <w:lang w:val="fr-CA"/>
        </w:rPr>
      </w:pPr>
      <w:r w:rsidRPr="00683937">
        <w:rPr>
          <w:lang w:val="fr-CA"/>
        </w:rPr>
        <w:t xml:space="preserve">CSA N290.19, </w:t>
      </w:r>
      <w:r w:rsidRPr="00683937">
        <w:rPr>
          <w:i/>
          <w:iCs/>
          <w:lang w:val="fr-CA"/>
        </w:rPr>
        <w:t>Processus décisionnel tenant compte du risque pour les centrales nucléaires</w:t>
      </w:r>
      <w:r w:rsidRPr="00683937">
        <w:rPr>
          <w:lang w:val="fr-CA"/>
        </w:rPr>
        <w:t> [1</w:t>
      </w:r>
      <w:r w:rsidR="006A400F">
        <w:rPr>
          <w:lang w:val="fr-CA"/>
        </w:rPr>
        <w:t>3</w:t>
      </w:r>
      <w:r w:rsidRPr="00683937">
        <w:rPr>
          <w:lang w:val="fr-CA"/>
        </w:rPr>
        <w:t>]</w:t>
      </w:r>
    </w:p>
    <w:p w14:paraId="7CC8C276" w14:textId="77777777" w:rsidR="00E96362" w:rsidRPr="00683937" w:rsidRDefault="00E96362" w:rsidP="00E96362">
      <w:pPr>
        <w:pStyle w:val="Heading3"/>
        <w:rPr>
          <w:lang w:val="fr-CA"/>
        </w:rPr>
      </w:pPr>
      <w:bookmarkStart w:id="258" w:name="_Toc126324299"/>
      <w:bookmarkStart w:id="259" w:name="_Toc140069081"/>
      <w:bookmarkStart w:id="260" w:name="_Toc140069153"/>
      <w:bookmarkStart w:id="261" w:name="_Toc140069196"/>
      <w:bookmarkStart w:id="262" w:name="_Toc152766328"/>
      <w:r w:rsidRPr="00683937">
        <w:rPr>
          <w:lang w:val="fr-CA"/>
        </w:rPr>
        <w:t>Rôles et responsabilités</w:t>
      </w:r>
      <w:bookmarkEnd w:id="258"/>
      <w:bookmarkEnd w:id="259"/>
      <w:bookmarkEnd w:id="260"/>
      <w:bookmarkEnd w:id="261"/>
      <w:bookmarkEnd w:id="262"/>
    </w:p>
    <w:p w14:paraId="3CD93608" w14:textId="77777777" w:rsidR="00E96362" w:rsidRPr="00683937" w:rsidRDefault="00E96362" w:rsidP="00E96362">
      <w:pPr>
        <w:pStyle w:val="HeadingRequirementsorGuidanceLabel"/>
        <w:rPr>
          <w:lang w:val="fr-CA"/>
        </w:rPr>
      </w:pPr>
      <w:bookmarkStart w:id="263" w:name="_Toc140069082"/>
      <w:r w:rsidRPr="00683937">
        <w:rPr>
          <w:lang w:val="fr-CA"/>
        </w:rPr>
        <w:t>Orientation</w:t>
      </w:r>
      <w:bookmarkEnd w:id="263"/>
    </w:p>
    <w:p w14:paraId="73FAB2D6" w14:textId="7548E6F9" w:rsidR="00E96362" w:rsidRPr="00683937" w:rsidRDefault="00E96362" w:rsidP="00E96362">
      <w:pPr>
        <w:pStyle w:val="BodyText"/>
        <w:keepNext/>
        <w:spacing w:after="0"/>
        <w:rPr>
          <w:lang w:val="fr-CA"/>
        </w:rPr>
      </w:pPr>
      <w:r w:rsidRPr="00683937">
        <w:rPr>
          <w:lang w:val="fr-CA"/>
        </w:rPr>
        <w:t>Pour s’assurer que le risque associé à un arrêt est dûment géré, le titulaire de permis devrait</w:t>
      </w:r>
      <w:r w:rsidR="00B15663">
        <w:rPr>
          <w:lang w:val="fr-CA"/>
        </w:rPr>
        <w:t> </w:t>
      </w:r>
      <w:r w:rsidRPr="00683937">
        <w:rPr>
          <w:lang w:val="fr-CA"/>
        </w:rPr>
        <w:t>:</w:t>
      </w:r>
    </w:p>
    <w:p w14:paraId="73ABA517" w14:textId="77777777" w:rsidR="00E96362" w:rsidRPr="00683937" w:rsidRDefault="00E96362" w:rsidP="00E96362">
      <w:pPr>
        <w:pStyle w:val="BulletList"/>
        <w:keepNext/>
        <w:numPr>
          <w:ilvl w:val="0"/>
          <w:numId w:val="8"/>
        </w:numPr>
        <w:ind w:left="1077" w:hanging="357"/>
        <w:rPr>
          <w:lang w:val="fr-CA"/>
        </w:rPr>
      </w:pPr>
      <w:r w:rsidRPr="00683937">
        <w:rPr>
          <w:lang w:val="fr-CA"/>
        </w:rPr>
        <w:t xml:space="preserve">établir un lien entre le groupe </w:t>
      </w:r>
      <w:r>
        <w:rPr>
          <w:lang w:val="fr-CA"/>
        </w:rPr>
        <w:t>chargé de l’</w:t>
      </w:r>
      <w:r w:rsidRPr="00683937">
        <w:rPr>
          <w:lang w:val="fr-CA"/>
        </w:rPr>
        <w:t>exploita</w:t>
      </w:r>
      <w:r>
        <w:rPr>
          <w:lang w:val="fr-CA"/>
        </w:rPr>
        <w:t>tion</w:t>
      </w:r>
      <w:r w:rsidRPr="00683937">
        <w:rPr>
          <w:lang w:val="fr-CA"/>
        </w:rPr>
        <w:t xml:space="preserve"> et d’autres organismes d</w:t>
      </w:r>
      <w:r>
        <w:rPr>
          <w:lang w:val="fr-CA"/>
        </w:rPr>
        <w:t>e soutien</w:t>
      </w:r>
      <w:r w:rsidRPr="00683937">
        <w:rPr>
          <w:lang w:val="fr-CA"/>
        </w:rPr>
        <w:t>, comme le service d’entretien</w:t>
      </w:r>
    </w:p>
    <w:p w14:paraId="1AE94C2F" w14:textId="77777777" w:rsidR="00E96362" w:rsidRPr="00683937" w:rsidRDefault="00E96362" w:rsidP="00E96362">
      <w:pPr>
        <w:pStyle w:val="BulletListLastItem"/>
        <w:numPr>
          <w:ilvl w:val="0"/>
          <w:numId w:val="8"/>
        </w:numPr>
        <w:ind w:left="1080"/>
        <w:rPr>
          <w:lang w:val="fr-CA"/>
        </w:rPr>
      </w:pPr>
      <w:r w:rsidRPr="00683937">
        <w:rPr>
          <w:lang w:val="fr-CA"/>
        </w:rPr>
        <w:t>s’assurer que le personnel d’exploitation participe à la coordination des activités liées à l’arrêt afin que la configuration appropriée de l’installation soit maintenue et que l’état de l’installation soit connu et communiqué à chaque quart de travail</w:t>
      </w:r>
    </w:p>
    <w:p w14:paraId="031C5F0D" w14:textId="77777777" w:rsidR="00E96362" w:rsidRPr="00683937" w:rsidRDefault="00E96362" w:rsidP="00E96362">
      <w:pPr>
        <w:pStyle w:val="Heading3"/>
        <w:rPr>
          <w:lang w:val="fr-CA"/>
        </w:rPr>
      </w:pPr>
      <w:bookmarkStart w:id="264" w:name="_Toc126324300"/>
      <w:bookmarkStart w:id="265" w:name="_Toc140069083"/>
      <w:bookmarkStart w:id="266" w:name="_Toc140069154"/>
      <w:bookmarkStart w:id="267" w:name="_Toc140069197"/>
      <w:bookmarkStart w:id="268" w:name="_Toc152766329"/>
      <w:r w:rsidRPr="00683937">
        <w:rPr>
          <w:lang w:val="fr-CA"/>
        </w:rPr>
        <w:t>Planification de l’arrêt et établissement de sa portée</w:t>
      </w:r>
      <w:bookmarkEnd w:id="264"/>
      <w:bookmarkEnd w:id="265"/>
      <w:bookmarkEnd w:id="266"/>
      <w:bookmarkEnd w:id="267"/>
      <w:bookmarkEnd w:id="268"/>
    </w:p>
    <w:p w14:paraId="72771D22" w14:textId="77777777" w:rsidR="00E96362" w:rsidRPr="00683937" w:rsidRDefault="00E96362" w:rsidP="00E96362">
      <w:pPr>
        <w:pStyle w:val="HeadingRequirementsorGuidanceLabel"/>
        <w:rPr>
          <w:lang w:val="fr-CA"/>
        </w:rPr>
      </w:pPr>
      <w:bookmarkStart w:id="269" w:name="_Toc140069084"/>
      <w:r w:rsidRPr="00683937">
        <w:rPr>
          <w:lang w:val="fr-CA"/>
        </w:rPr>
        <w:t>Exigences</w:t>
      </w:r>
      <w:bookmarkEnd w:id="269"/>
    </w:p>
    <w:p w14:paraId="5EA59005" w14:textId="77B39B6A" w:rsidR="00E96362" w:rsidRPr="00683937" w:rsidRDefault="00E96362" w:rsidP="00E96362">
      <w:pPr>
        <w:pStyle w:val="BodyText"/>
        <w:keepNext/>
        <w:spacing w:after="0"/>
        <w:rPr>
          <w:lang w:val="fr-CA"/>
        </w:rPr>
      </w:pPr>
      <w:r w:rsidRPr="00683937">
        <w:rPr>
          <w:lang w:val="fr-CA"/>
        </w:rPr>
        <w:t>Le titulaire de permis doit s’assurer que le processus d’établissement de la portée de l’arrêt mentionne ce qui suit</w:t>
      </w:r>
      <w:r w:rsidR="00B15663">
        <w:rPr>
          <w:lang w:val="fr-CA"/>
        </w:rPr>
        <w:t> </w:t>
      </w:r>
      <w:r w:rsidRPr="00683937">
        <w:rPr>
          <w:lang w:val="fr-CA"/>
        </w:rPr>
        <w:t>:</w:t>
      </w:r>
    </w:p>
    <w:p w14:paraId="10930B87"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 travail réglementaire (à savoir le travail exigé aux termes d’une norme ou d’un code cité en référence dans le permis)</w:t>
      </w:r>
    </w:p>
    <w:p w14:paraId="742DE93F" w14:textId="77777777" w:rsidR="00E96362" w:rsidRPr="00683937" w:rsidRDefault="00E96362" w:rsidP="00E96362">
      <w:pPr>
        <w:pStyle w:val="BulletList"/>
        <w:numPr>
          <w:ilvl w:val="0"/>
          <w:numId w:val="8"/>
        </w:numPr>
        <w:ind w:left="1080"/>
        <w:rPr>
          <w:lang w:val="fr-CA"/>
        </w:rPr>
      </w:pPr>
      <w:r>
        <w:rPr>
          <w:lang w:val="fr-CA"/>
        </w:rPr>
        <w:t>l</w:t>
      </w:r>
      <w:r w:rsidRPr="00683937">
        <w:rPr>
          <w:lang w:val="fr-CA"/>
        </w:rPr>
        <w:t>e travail que le titulaire de permis s’est engagé à réaliser, auprès de la CCSN, au cours de l’arrêt</w:t>
      </w:r>
    </w:p>
    <w:p w14:paraId="205A005D" w14:textId="77777777" w:rsidR="00E96362" w:rsidRPr="00683937" w:rsidRDefault="00E96362" w:rsidP="00E96362">
      <w:pPr>
        <w:pStyle w:val="BulletList"/>
        <w:keepNext/>
        <w:numPr>
          <w:ilvl w:val="0"/>
          <w:numId w:val="8"/>
        </w:numPr>
        <w:ind w:left="1077" w:hanging="357"/>
        <w:rPr>
          <w:lang w:val="fr-CA"/>
        </w:rPr>
      </w:pPr>
      <w:r>
        <w:rPr>
          <w:lang w:val="fr-CA"/>
        </w:rPr>
        <w:t>t</w:t>
      </w:r>
      <w:r w:rsidRPr="00683937">
        <w:rPr>
          <w:lang w:val="fr-CA"/>
        </w:rPr>
        <w:t>outes les autres activités nécessitant une approbation réglementaire (cette approbation devant être obtenue avant le redémarrage du réacteur)</w:t>
      </w:r>
    </w:p>
    <w:p w14:paraId="37CCA79C"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es exigences en matière de production de rapports</w:t>
      </w:r>
    </w:p>
    <w:p w14:paraId="4146CB83" w14:textId="78978595" w:rsidR="00E96362" w:rsidRPr="00683937" w:rsidRDefault="00E96362" w:rsidP="00E96362">
      <w:pPr>
        <w:pStyle w:val="BodyText"/>
        <w:keepNext/>
        <w:spacing w:after="0"/>
        <w:rPr>
          <w:lang w:val="fr-CA"/>
        </w:rPr>
      </w:pPr>
      <w:r w:rsidRPr="00683937">
        <w:rPr>
          <w:lang w:val="fr-CA"/>
        </w:rPr>
        <w:t>Le titulaire de permis doit veiller à ce que</w:t>
      </w:r>
      <w:r w:rsidR="00B15663">
        <w:rPr>
          <w:lang w:val="fr-CA"/>
        </w:rPr>
        <w:t> </w:t>
      </w:r>
      <w:r w:rsidRPr="00683937">
        <w:rPr>
          <w:lang w:val="fr-CA"/>
        </w:rPr>
        <w:t>:</w:t>
      </w:r>
    </w:p>
    <w:p w14:paraId="53FA3123" w14:textId="77777777" w:rsidR="00E96362" w:rsidRPr="00683937" w:rsidRDefault="00E96362" w:rsidP="00E96362">
      <w:pPr>
        <w:pStyle w:val="BulletList"/>
        <w:keepNext/>
        <w:numPr>
          <w:ilvl w:val="0"/>
          <w:numId w:val="8"/>
        </w:numPr>
        <w:ind w:left="1077" w:hanging="357"/>
        <w:rPr>
          <w:lang w:val="fr-CA"/>
        </w:rPr>
      </w:pPr>
      <w:r w:rsidRPr="00683937">
        <w:rPr>
          <w:lang w:val="fr-CA"/>
        </w:rPr>
        <w:t>la portée de l’arrêt soit consignée et approuvée par la haute direction de l’installation</w:t>
      </w:r>
    </w:p>
    <w:p w14:paraId="403BEFAB" w14:textId="77777777" w:rsidR="00E96362" w:rsidRPr="00683937" w:rsidRDefault="00E96362" w:rsidP="00E96362">
      <w:pPr>
        <w:pStyle w:val="BulletList"/>
        <w:keepNext/>
        <w:numPr>
          <w:ilvl w:val="0"/>
          <w:numId w:val="8"/>
        </w:numPr>
        <w:ind w:left="1077" w:hanging="357"/>
        <w:rPr>
          <w:lang w:val="fr-CA"/>
        </w:rPr>
      </w:pPr>
      <w:r w:rsidRPr="00683937">
        <w:rPr>
          <w:lang w:val="fr-CA"/>
        </w:rPr>
        <w:t>les ressources des opérateurs soient disponibles pour appuyer la planification et l’exécution de l’arrêt</w:t>
      </w:r>
    </w:p>
    <w:p w14:paraId="566658CC" w14:textId="77777777" w:rsidR="00E96362" w:rsidRPr="00683937" w:rsidRDefault="00E96362" w:rsidP="00E96362">
      <w:pPr>
        <w:pStyle w:val="BulletListLastItem"/>
        <w:numPr>
          <w:ilvl w:val="0"/>
          <w:numId w:val="8"/>
        </w:numPr>
        <w:ind w:left="1080"/>
        <w:rPr>
          <w:lang w:val="fr-CA"/>
        </w:rPr>
      </w:pPr>
      <w:r w:rsidRPr="00683937">
        <w:rPr>
          <w:lang w:val="fr-CA"/>
        </w:rPr>
        <w:t>des processus soient établis pour s’assurer qu’un effectif compétent et qualifié ainsi que l’équipement et le matériel requis seront disponibles pour l’arrêt prévu</w:t>
      </w:r>
    </w:p>
    <w:p w14:paraId="2F69769B" w14:textId="77777777" w:rsidR="00E96362" w:rsidRPr="00683937" w:rsidRDefault="00E96362" w:rsidP="00E96362">
      <w:pPr>
        <w:pStyle w:val="HeadingRequirementsorGuidanceLabel"/>
        <w:rPr>
          <w:lang w:val="fr-CA"/>
        </w:rPr>
      </w:pPr>
      <w:bookmarkStart w:id="270" w:name="_Toc140069085"/>
      <w:r w:rsidRPr="00683937">
        <w:rPr>
          <w:lang w:val="fr-CA"/>
        </w:rPr>
        <w:t>Orientation</w:t>
      </w:r>
      <w:bookmarkEnd w:id="270"/>
    </w:p>
    <w:p w14:paraId="7BF7F2BE" w14:textId="77777777" w:rsidR="00E96362" w:rsidRPr="00683937" w:rsidRDefault="00E96362" w:rsidP="00E96362">
      <w:pPr>
        <w:pStyle w:val="BodyText"/>
        <w:rPr>
          <w:lang w:val="fr-CA"/>
        </w:rPr>
      </w:pPr>
      <w:r w:rsidRPr="00683937">
        <w:rPr>
          <w:lang w:val="fr-CA"/>
        </w:rPr>
        <w:t xml:space="preserve">Au cours de la planification d’un arrêt, le titulaire de permis devrait tenir compte des arrêts antérieurs, des prochains arrêts prévus, des arrêts parallèles et des futurs arrêts. Parmi les points à prendre en compte, mentionnons à titre d’exemples les limites </w:t>
      </w:r>
      <w:r>
        <w:rPr>
          <w:lang w:val="fr-CA"/>
        </w:rPr>
        <w:t>relatives à l’</w:t>
      </w:r>
      <w:r w:rsidRPr="00683937">
        <w:rPr>
          <w:lang w:val="fr-CA"/>
        </w:rPr>
        <w:t xml:space="preserve">aptitude fonctionnelle </w:t>
      </w:r>
      <w:r>
        <w:rPr>
          <w:lang w:val="fr-CA"/>
        </w:rPr>
        <w:t>des</w:t>
      </w:r>
      <w:r w:rsidRPr="00683937">
        <w:rPr>
          <w:lang w:val="fr-CA"/>
        </w:rPr>
        <w:t xml:space="preserve"> composants et, dans le cas d’une installation dotée de tranches multiples, la disponibilité du personnel et de l’équipement pour tous les quarts de travail.</w:t>
      </w:r>
    </w:p>
    <w:p w14:paraId="72286C70" w14:textId="7BEBA712" w:rsidR="00E96362" w:rsidRPr="00683937" w:rsidRDefault="00E96362" w:rsidP="00E96362">
      <w:pPr>
        <w:pStyle w:val="BodyText"/>
        <w:keepNext/>
        <w:spacing w:after="0"/>
        <w:rPr>
          <w:lang w:val="fr-CA"/>
        </w:rPr>
      </w:pPr>
      <w:r w:rsidRPr="00683937">
        <w:rPr>
          <w:lang w:val="fr-CA"/>
        </w:rPr>
        <w:t>Pour obtenir plus d’information sur</w:t>
      </w:r>
      <w:r w:rsidR="00B15663">
        <w:rPr>
          <w:lang w:val="fr-CA"/>
        </w:rPr>
        <w:t> </w:t>
      </w:r>
      <w:r w:rsidRPr="00683937">
        <w:rPr>
          <w:lang w:val="fr-CA"/>
        </w:rPr>
        <w:t>:</w:t>
      </w:r>
    </w:p>
    <w:p w14:paraId="13D509FD" w14:textId="1A470716" w:rsidR="00E96362" w:rsidRPr="00683937" w:rsidRDefault="00E96362" w:rsidP="00E96362">
      <w:pPr>
        <w:pStyle w:val="BulletList"/>
        <w:keepNext/>
        <w:numPr>
          <w:ilvl w:val="0"/>
          <w:numId w:val="8"/>
        </w:numPr>
        <w:ind w:left="1077" w:hanging="357"/>
        <w:rPr>
          <w:lang w:val="fr-CA"/>
        </w:rPr>
      </w:pPr>
      <w:r w:rsidRPr="00683937">
        <w:rPr>
          <w:lang w:val="fr-CA"/>
        </w:rPr>
        <w:t>la planification, l’ordonnancement et l’exécution des activités d’entretien, veuillez consulter le REGDOC</w:t>
      </w:r>
      <w:r w:rsidRPr="00683937">
        <w:rPr>
          <w:lang w:val="fr-CA"/>
        </w:rPr>
        <w:noBreakHyphen/>
        <w:t xml:space="preserve">2.6.2, </w:t>
      </w:r>
      <w:r w:rsidRPr="00683937">
        <w:rPr>
          <w:i/>
          <w:iCs/>
          <w:lang w:val="fr-CA"/>
        </w:rPr>
        <w:t>Programmes d’entretien des centrales nucléaires</w:t>
      </w:r>
      <w:r w:rsidRPr="00683937">
        <w:rPr>
          <w:lang w:val="fr-CA"/>
        </w:rPr>
        <w:t> [</w:t>
      </w:r>
      <w:r w:rsidR="00A0465B">
        <w:rPr>
          <w:lang w:val="fr-CA"/>
        </w:rPr>
        <w:t>20</w:t>
      </w:r>
      <w:r w:rsidRPr="00683937">
        <w:rPr>
          <w:lang w:val="fr-CA"/>
        </w:rPr>
        <w:t>]</w:t>
      </w:r>
    </w:p>
    <w:p w14:paraId="6EECE7C7" w14:textId="718B4CCC" w:rsidR="00E96362" w:rsidRPr="00683937" w:rsidRDefault="00E96362" w:rsidP="00E96362">
      <w:pPr>
        <w:pStyle w:val="BulletList"/>
        <w:keepNext/>
        <w:numPr>
          <w:ilvl w:val="0"/>
          <w:numId w:val="8"/>
        </w:numPr>
        <w:ind w:left="1077" w:hanging="357"/>
        <w:rPr>
          <w:lang w:val="fr-CA"/>
        </w:rPr>
      </w:pPr>
      <w:r w:rsidRPr="00683937">
        <w:rPr>
          <w:lang w:val="fr-CA"/>
        </w:rPr>
        <w:t>les exigences en matière de production de rapports, veuillez consulter le REGDOC</w:t>
      </w:r>
      <w:r w:rsidRPr="00683937">
        <w:rPr>
          <w:lang w:val="fr-CA"/>
        </w:rPr>
        <w:noBreakHyphen/>
        <w:t xml:space="preserve">3.1.1, </w:t>
      </w:r>
      <w:r w:rsidRPr="00683937">
        <w:rPr>
          <w:i/>
          <w:iCs/>
          <w:lang w:val="fr-CA"/>
        </w:rPr>
        <w:t>Rapports à soumettre par les exploitants de centrales nucléaires</w:t>
      </w:r>
      <w:r w:rsidRPr="00683937">
        <w:rPr>
          <w:lang w:val="fr-CA"/>
        </w:rPr>
        <w:t> [2</w:t>
      </w:r>
      <w:r w:rsidR="006A400F">
        <w:rPr>
          <w:lang w:val="fr-CA"/>
        </w:rPr>
        <w:t>8</w:t>
      </w:r>
      <w:r w:rsidRPr="00683937">
        <w:rPr>
          <w:lang w:val="fr-CA"/>
        </w:rPr>
        <w:t>]</w:t>
      </w:r>
    </w:p>
    <w:p w14:paraId="1184B854" w14:textId="77777777" w:rsidR="00E96362" w:rsidRPr="00683937" w:rsidRDefault="00E96362" w:rsidP="00E96362">
      <w:pPr>
        <w:pStyle w:val="BulletListLastItem"/>
        <w:numPr>
          <w:ilvl w:val="0"/>
          <w:numId w:val="8"/>
        </w:numPr>
        <w:ind w:left="1080"/>
        <w:rPr>
          <w:lang w:val="fr-CA"/>
        </w:rPr>
      </w:pPr>
      <w:r w:rsidRPr="00683937">
        <w:rPr>
          <w:lang w:val="fr-CA"/>
        </w:rPr>
        <w:t xml:space="preserve">la gestion des ressources, veuillez consulter la norme CSA N286, </w:t>
      </w:r>
      <w:r w:rsidRPr="00683937">
        <w:rPr>
          <w:i/>
          <w:iCs/>
          <w:lang w:val="fr-CA"/>
        </w:rPr>
        <w:t>Exigences relatives au système de gestion des installations nucléaires</w:t>
      </w:r>
      <w:r w:rsidRPr="00683937">
        <w:rPr>
          <w:lang w:val="fr-CA"/>
        </w:rPr>
        <w:t> [4]</w:t>
      </w:r>
    </w:p>
    <w:p w14:paraId="2BA02BE2" w14:textId="77777777" w:rsidR="00E96362" w:rsidRPr="00683937" w:rsidRDefault="00E96362" w:rsidP="00E96362">
      <w:pPr>
        <w:pStyle w:val="Heading3"/>
        <w:rPr>
          <w:lang w:val="fr-CA"/>
        </w:rPr>
      </w:pPr>
      <w:bookmarkStart w:id="271" w:name="_Toc126324301"/>
      <w:bookmarkStart w:id="272" w:name="_Toc140069086"/>
      <w:bookmarkStart w:id="273" w:name="_Toc140069155"/>
      <w:bookmarkStart w:id="274" w:name="_Toc140069198"/>
      <w:bookmarkStart w:id="275" w:name="_Toc152766330"/>
      <w:r w:rsidRPr="00683937">
        <w:rPr>
          <w:lang w:val="fr-CA"/>
        </w:rPr>
        <w:t>Indicateurs de rendement en matière d’arrêt</w:t>
      </w:r>
      <w:bookmarkEnd w:id="271"/>
      <w:bookmarkEnd w:id="272"/>
      <w:bookmarkEnd w:id="273"/>
      <w:bookmarkEnd w:id="274"/>
      <w:bookmarkEnd w:id="275"/>
    </w:p>
    <w:p w14:paraId="3AC04DE0" w14:textId="77777777" w:rsidR="00E96362" w:rsidRPr="00683937" w:rsidRDefault="00E96362" w:rsidP="00E96362">
      <w:pPr>
        <w:pStyle w:val="HeadingRequirementsorGuidanceLabel"/>
        <w:rPr>
          <w:lang w:val="fr-CA"/>
        </w:rPr>
      </w:pPr>
      <w:bookmarkStart w:id="276" w:name="_Toc140069087"/>
      <w:r w:rsidRPr="00683937">
        <w:rPr>
          <w:lang w:val="fr-CA"/>
        </w:rPr>
        <w:t>Exigences</w:t>
      </w:r>
      <w:bookmarkEnd w:id="276"/>
    </w:p>
    <w:p w14:paraId="7E785CDE" w14:textId="77777777" w:rsidR="00E96362" w:rsidRPr="00683937" w:rsidRDefault="00E96362" w:rsidP="00E96362">
      <w:pPr>
        <w:pStyle w:val="BodyText"/>
        <w:rPr>
          <w:lang w:val="fr-CA"/>
        </w:rPr>
      </w:pPr>
      <w:r w:rsidRPr="00683937">
        <w:rPr>
          <w:lang w:val="fr-CA"/>
        </w:rPr>
        <w:t>Le titulaire de permis doit établir des indicateurs de rendement en matière de sûreté s’appliquant aux arrêts pour assurer la gestion de la sûreté au cours des arrêts ainsi qu’une surveillance appropriée des activités relatives aux arrêts.</w:t>
      </w:r>
    </w:p>
    <w:p w14:paraId="6A8FB053" w14:textId="77777777" w:rsidR="00E96362" w:rsidRPr="00683937" w:rsidRDefault="00E96362" w:rsidP="00E96362">
      <w:pPr>
        <w:pStyle w:val="HeadingRequirementsorGuidanceLabel"/>
        <w:rPr>
          <w:lang w:val="fr-CA"/>
        </w:rPr>
      </w:pPr>
      <w:bookmarkStart w:id="277" w:name="_Toc140069088"/>
      <w:r w:rsidRPr="00683937">
        <w:rPr>
          <w:lang w:val="fr-CA"/>
        </w:rPr>
        <w:t>Orientation</w:t>
      </w:r>
      <w:bookmarkEnd w:id="277"/>
    </w:p>
    <w:p w14:paraId="256C4DC6" w14:textId="77777777" w:rsidR="00E96362" w:rsidRPr="00683937" w:rsidRDefault="00E96362" w:rsidP="00E96362">
      <w:pPr>
        <w:pStyle w:val="BodyText"/>
        <w:rPr>
          <w:lang w:val="fr-CA"/>
        </w:rPr>
      </w:pPr>
      <w:r w:rsidRPr="00683937">
        <w:rPr>
          <w:lang w:val="fr-CA"/>
        </w:rPr>
        <w:t xml:space="preserve">Pour obtenir plus d’information sur un programme de surveillance de la sûreté de l’exploitation, y compris une combinaison d’indicateurs de rendement avancés et </w:t>
      </w:r>
      <w:r>
        <w:rPr>
          <w:lang w:val="fr-CA"/>
        </w:rPr>
        <w:t>tardifs</w:t>
      </w:r>
      <w:r w:rsidRPr="00683937">
        <w:rPr>
          <w:lang w:val="fr-CA"/>
        </w:rPr>
        <w:t xml:space="preserve">, veuillez consulter la section 6, </w:t>
      </w:r>
      <w:r w:rsidRPr="00683937">
        <w:rPr>
          <w:i/>
          <w:iCs/>
          <w:lang w:val="fr-CA"/>
        </w:rPr>
        <w:t xml:space="preserve">Rapports </w:t>
      </w:r>
      <w:r>
        <w:rPr>
          <w:i/>
          <w:iCs/>
          <w:lang w:val="fr-CA"/>
        </w:rPr>
        <w:t>sur l</w:t>
      </w:r>
      <w:r w:rsidRPr="00683937">
        <w:rPr>
          <w:i/>
          <w:iCs/>
          <w:lang w:val="fr-CA"/>
        </w:rPr>
        <w:t>’expérience d’exploitation et examen de l’expérience d’exploitation</w:t>
      </w:r>
      <w:r w:rsidRPr="00683937">
        <w:rPr>
          <w:lang w:val="fr-CA"/>
        </w:rPr>
        <w:t>.</w:t>
      </w:r>
    </w:p>
    <w:p w14:paraId="46F074CE" w14:textId="181F7C6F" w:rsidR="00E96362" w:rsidRPr="00683937" w:rsidRDefault="00E96362" w:rsidP="00E96362">
      <w:pPr>
        <w:pStyle w:val="BodyText"/>
        <w:rPr>
          <w:lang w:val="fr-CA"/>
        </w:rPr>
      </w:pPr>
      <w:r w:rsidRPr="00683937">
        <w:rPr>
          <w:lang w:val="fr-CA"/>
        </w:rPr>
        <w:t>Pour obtenir des exemples d’indicateurs de rendement en matière de sûreté, veuillez consulter le REGDOC</w:t>
      </w:r>
      <w:r w:rsidRPr="00683937">
        <w:rPr>
          <w:lang w:val="fr-CA"/>
        </w:rPr>
        <w:noBreakHyphen/>
        <w:t xml:space="preserve">3.1.1, </w:t>
      </w:r>
      <w:r w:rsidRPr="00683937">
        <w:rPr>
          <w:i/>
          <w:iCs/>
          <w:lang w:val="fr-CA"/>
        </w:rPr>
        <w:t>Rapports à soumettre par les exploitants de centrales nucléaires</w:t>
      </w:r>
      <w:r w:rsidRPr="00683937">
        <w:rPr>
          <w:lang w:val="fr-CA"/>
        </w:rPr>
        <w:t> [2</w:t>
      </w:r>
      <w:r w:rsidR="006A400F">
        <w:rPr>
          <w:lang w:val="fr-CA"/>
        </w:rPr>
        <w:t>8</w:t>
      </w:r>
      <w:r w:rsidRPr="00683937">
        <w:rPr>
          <w:lang w:val="fr-CA"/>
        </w:rPr>
        <w:t>].</w:t>
      </w:r>
    </w:p>
    <w:p w14:paraId="11BDCE71" w14:textId="77777777" w:rsidR="00E96362" w:rsidRPr="00683937" w:rsidRDefault="00E96362" w:rsidP="00E96362">
      <w:pPr>
        <w:pStyle w:val="Heading3"/>
        <w:rPr>
          <w:lang w:val="fr-CA"/>
        </w:rPr>
      </w:pPr>
      <w:bookmarkStart w:id="278" w:name="_Toc126324302"/>
      <w:bookmarkStart w:id="279" w:name="_Toc140069089"/>
      <w:bookmarkStart w:id="280" w:name="_Toc140069156"/>
      <w:bookmarkStart w:id="281" w:name="_Toc140069199"/>
      <w:bookmarkStart w:id="282" w:name="_Toc152766331"/>
      <w:r w:rsidRPr="00683937">
        <w:rPr>
          <w:lang w:val="fr-CA"/>
        </w:rPr>
        <w:t>Vérification préalable au redémarrage</w:t>
      </w:r>
      <w:bookmarkEnd w:id="278"/>
      <w:bookmarkEnd w:id="279"/>
      <w:bookmarkEnd w:id="280"/>
      <w:bookmarkEnd w:id="281"/>
      <w:bookmarkEnd w:id="282"/>
    </w:p>
    <w:p w14:paraId="39A58318" w14:textId="77777777" w:rsidR="00E96362" w:rsidRPr="00683937" w:rsidRDefault="00E96362" w:rsidP="00E96362">
      <w:pPr>
        <w:pStyle w:val="HeadingRequirementsorGuidanceLabel"/>
        <w:rPr>
          <w:lang w:val="fr-CA"/>
        </w:rPr>
      </w:pPr>
      <w:bookmarkStart w:id="283" w:name="_Toc140069090"/>
      <w:r w:rsidRPr="00683937">
        <w:rPr>
          <w:lang w:val="fr-CA"/>
        </w:rPr>
        <w:t>Exigences</w:t>
      </w:r>
      <w:bookmarkEnd w:id="283"/>
    </w:p>
    <w:p w14:paraId="1DA2F27B" w14:textId="77777777" w:rsidR="00E96362" w:rsidRPr="00683937" w:rsidRDefault="00E96362" w:rsidP="00E96362">
      <w:pPr>
        <w:pStyle w:val="BodyText"/>
        <w:rPr>
          <w:lang w:val="fr-CA"/>
        </w:rPr>
      </w:pPr>
      <w:r w:rsidRPr="00683937">
        <w:rPr>
          <w:lang w:val="fr-CA"/>
        </w:rPr>
        <w:t>Le titulaire de permis doit évaluer tout travail qui entre dans la portée de l’arrêt, mais qui n’a pas encore été effectué afin d’en établir l’incidence sur la sûreté et l’aptitude fonctionnelle du réacteur et de ses systèmes.</w:t>
      </w:r>
    </w:p>
    <w:p w14:paraId="0F3D2C75" w14:textId="2094D6A3" w:rsidR="00E96362" w:rsidRPr="00683937" w:rsidRDefault="00E96362" w:rsidP="00E96362">
      <w:pPr>
        <w:pStyle w:val="BodyText"/>
        <w:keepNext/>
        <w:spacing w:after="0"/>
        <w:rPr>
          <w:lang w:val="fr-CA"/>
        </w:rPr>
      </w:pPr>
      <w:r w:rsidRPr="00683937">
        <w:rPr>
          <w:lang w:val="fr-CA"/>
        </w:rPr>
        <w:t xml:space="preserve">Le titulaire de permis doit s’assurer qu’un processus est en place pour examiner les conditions et critères de redémarrage, ainsi que les pouvoirs décisionnels, avant le redémarrage du réacteur. Ce processus doit prévoir des mesures servant à vérifier </w:t>
      </w:r>
      <w:r>
        <w:rPr>
          <w:lang w:val="fr-CA"/>
        </w:rPr>
        <w:t>que</w:t>
      </w:r>
      <w:r w:rsidR="00B15663">
        <w:rPr>
          <w:lang w:val="fr-CA"/>
        </w:rPr>
        <w:t> </w:t>
      </w:r>
      <w:r w:rsidRPr="00683937">
        <w:rPr>
          <w:lang w:val="fr-CA"/>
        </w:rPr>
        <w:t>:</w:t>
      </w:r>
    </w:p>
    <w:p w14:paraId="38DF3AD4"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a position de chaque composant essentiel pour la sûreté du réacteur et l’exploitation de la tranche est dans l’état requis</w:t>
      </w:r>
    </w:p>
    <w:p w14:paraId="66E0A4F0" w14:textId="77777777" w:rsidR="00E96362" w:rsidRPr="00683937" w:rsidRDefault="00E96362" w:rsidP="00E96362">
      <w:pPr>
        <w:pStyle w:val="BulletList"/>
        <w:numPr>
          <w:ilvl w:val="0"/>
          <w:numId w:val="8"/>
        </w:numPr>
        <w:ind w:left="1080"/>
        <w:rPr>
          <w:lang w:val="fr-CA"/>
        </w:rPr>
      </w:pPr>
      <w:r>
        <w:rPr>
          <w:lang w:val="fr-CA"/>
        </w:rPr>
        <w:t>u</w:t>
      </w:r>
      <w:r w:rsidRPr="00683937">
        <w:rPr>
          <w:lang w:val="fr-CA"/>
        </w:rPr>
        <w:t>ne capacité adéquate d’extraction de la chaleur est disponible pour le niveau donné de puissance du réacteur</w:t>
      </w:r>
    </w:p>
    <w:p w14:paraId="532487CB" w14:textId="77777777" w:rsidR="00E96362" w:rsidRPr="00683937" w:rsidRDefault="00E96362" w:rsidP="00E96362">
      <w:pPr>
        <w:pStyle w:val="BulletList"/>
        <w:numPr>
          <w:ilvl w:val="0"/>
          <w:numId w:val="8"/>
        </w:numPr>
        <w:ind w:left="1080"/>
        <w:rPr>
          <w:lang w:val="fr-CA"/>
        </w:rPr>
      </w:pPr>
      <w:r>
        <w:rPr>
          <w:lang w:val="fr-CA"/>
        </w:rPr>
        <w:t>u</w:t>
      </w:r>
      <w:r w:rsidRPr="00683937">
        <w:rPr>
          <w:lang w:val="fr-CA"/>
        </w:rPr>
        <w:t>n examen adéquat est réalisé et une approbation appropriée est obtenue avant la levée de toute garantie d’arrêt du réacteur et l’approche de la criticité; par exemple, une remise en service après une réfection peut nécessiter des approbations réglementaires additionnelles</w:t>
      </w:r>
    </w:p>
    <w:p w14:paraId="3B7A5335" w14:textId="77777777" w:rsidR="00E96362" w:rsidRPr="00683937" w:rsidRDefault="00E96362" w:rsidP="00E96362">
      <w:pPr>
        <w:pStyle w:val="BulletList"/>
        <w:keepNext/>
        <w:numPr>
          <w:ilvl w:val="0"/>
          <w:numId w:val="8"/>
        </w:numPr>
        <w:ind w:left="1077" w:hanging="357"/>
        <w:rPr>
          <w:lang w:val="fr-CA"/>
        </w:rPr>
      </w:pPr>
      <w:r>
        <w:rPr>
          <w:lang w:val="fr-CA"/>
        </w:rPr>
        <w:t>d</w:t>
      </w:r>
      <w:r w:rsidRPr="00683937">
        <w:rPr>
          <w:lang w:val="fr-CA"/>
        </w:rPr>
        <w:t>es ressources de soutien adéquates sont disponibles pour faciliter le redémarrage du réacteur; par exemple, le combustible et la physique, les technologues en chimie et les opérateurs</w:t>
      </w:r>
    </w:p>
    <w:p w14:paraId="5ED6F7A3"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e redémarrage prévu comprend tout point d’arrêt</w:t>
      </w:r>
    </w:p>
    <w:p w14:paraId="77E70AD1" w14:textId="77777777" w:rsidR="00E96362" w:rsidRPr="00683937" w:rsidRDefault="00E96362" w:rsidP="00E96362">
      <w:pPr>
        <w:pStyle w:val="HeadingRequirementsorGuidanceLabel"/>
        <w:rPr>
          <w:lang w:val="fr-CA"/>
        </w:rPr>
      </w:pPr>
      <w:bookmarkStart w:id="284" w:name="_Toc140069091"/>
      <w:r w:rsidRPr="00683937">
        <w:rPr>
          <w:lang w:val="fr-CA"/>
        </w:rPr>
        <w:t>Orientation</w:t>
      </w:r>
      <w:bookmarkEnd w:id="284"/>
    </w:p>
    <w:p w14:paraId="7596F5A0" w14:textId="77777777" w:rsidR="00E96362" w:rsidRPr="00683937" w:rsidRDefault="00E96362" w:rsidP="00E96362">
      <w:pPr>
        <w:pStyle w:val="BodyText"/>
        <w:rPr>
          <w:lang w:val="fr-CA"/>
        </w:rPr>
      </w:pPr>
      <w:r w:rsidRPr="00683937">
        <w:rPr>
          <w:lang w:val="fr-CA"/>
        </w:rPr>
        <w:t xml:space="preserve">Si une mise à l’essai est nécessaire avant le redémarrage, le personnel d’exploitation devrait prendre en compte, de manière générale, l’exploitabilité et la fonction prévue du système dans son intégralité et ne devrait pas se concentrer uniquement sur l’exploitabilité des composants individuels.   </w:t>
      </w:r>
    </w:p>
    <w:p w14:paraId="3B59E526" w14:textId="2256F3AA" w:rsidR="00E96362" w:rsidRPr="00683937" w:rsidRDefault="00E96362" w:rsidP="00E96362">
      <w:pPr>
        <w:pStyle w:val="BodyText"/>
        <w:rPr>
          <w:lang w:val="fr-CA"/>
        </w:rPr>
      </w:pPr>
      <w:r w:rsidRPr="00683937">
        <w:rPr>
          <w:lang w:val="fr-CA"/>
        </w:rPr>
        <w:t>Pour prendre connaissance des exigences liées aux vérifications et essais post-entretien (qui doivent être effectués avant la remise en service dans le cas des SSC ayant fait l’objet d’un entretien au cours d’un arrêt), veuillez consulter le REGDOC</w:t>
      </w:r>
      <w:r w:rsidRPr="00683937">
        <w:rPr>
          <w:lang w:val="fr-CA"/>
        </w:rPr>
        <w:noBreakHyphen/>
        <w:t xml:space="preserve">2.6.2, </w:t>
      </w:r>
      <w:r w:rsidRPr="00683937">
        <w:rPr>
          <w:i/>
          <w:iCs/>
          <w:lang w:val="fr-CA"/>
        </w:rPr>
        <w:t>Programmes d’entretien des centrales nucléaires</w:t>
      </w:r>
      <w:r w:rsidRPr="00683937">
        <w:rPr>
          <w:lang w:val="fr-CA"/>
        </w:rPr>
        <w:t> [</w:t>
      </w:r>
      <w:r w:rsidR="00A0465B">
        <w:rPr>
          <w:lang w:val="fr-CA"/>
        </w:rPr>
        <w:t>20</w:t>
      </w:r>
      <w:r w:rsidRPr="00683937">
        <w:rPr>
          <w:lang w:val="fr-CA"/>
        </w:rPr>
        <w:t>].</w:t>
      </w:r>
    </w:p>
    <w:p w14:paraId="02B8BD8C" w14:textId="77777777" w:rsidR="00E96362" w:rsidRPr="00683937" w:rsidRDefault="00E96362" w:rsidP="00E96362">
      <w:pPr>
        <w:pStyle w:val="Heading3"/>
        <w:rPr>
          <w:lang w:val="fr-CA"/>
        </w:rPr>
      </w:pPr>
      <w:bookmarkStart w:id="285" w:name="_Toc126324303"/>
      <w:bookmarkStart w:id="286" w:name="_Toc140069092"/>
      <w:bookmarkStart w:id="287" w:name="_Toc140069157"/>
      <w:bookmarkStart w:id="288" w:name="_Toc140069200"/>
      <w:bookmarkStart w:id="289" w:name="_Toc152766332"/>
      <w:r w:rsidRPr="00683937">
        <w:rPr>
          <w:lang w:val="fr-CA"/>
        </w:rPr>
        <w:t>Activités de clôture de l’arrêt</w:t>
      </w:r>
      <w:bookmarkEnd w:id="285"/>
      <w:bookmarkEnd w:id="286"/>
      <w:bookmarkEnd w:id="287"/>
      <w:bookmarkEnd w:id="288"/>
      <w:bookmarkEnd w:id="289"/>
    </w:p>
    <w:p w14:paraId="044C5611" w14:textId="77777777" w:rsidR="00E96362" w:rsidRPr="00683937" w:rsidRDefault="00E96362" w:rsidP="00E96362">
      <w:pPr>
        <w:pStyle w:val="HeadingRequirementsorGuidanceLabel"/>
        <w:rPr>
          <w:lang w:val="fr-CA"/>
        </w:rPr>
      </w:pPr>
      <w:bookmarkStart w:id="290" w:name="_Toc140069093"/>
      <w:r w:rsidRPr="00683937">
        <w:rPr>
          <w:lang w:val="fr-CA"/>
        </w:rPr>
        <w:t>Exigences</w:t>
      </w:r>
      <w:bookmarkEnd w:id="290"/>
    </w:p>
    <w:p w14:paraId="7F8E721D" w14:textId="1CAB0D8D" w:rsidR="00E96362" w:rsidRPr="00683937" w:rsidRDefault="00E96362" w:rsidP="00E96362">
      <w:pPr>
        <w:pStyle w:val="BodyText"/>
        <w:keepNext/>
        <w:spacing w:after="0"/>
        <w:rPr>
          <w:lang w:val="fr-CA"/>
        </w:rPr>
      </w:pPr>
      <w:r w:rsidRPr="00683937">
        <w:rPr>
          <w:lang w:val="fr-CA"/>
        </w:rPr>
        <w:t>Une fois le processus d’arrêt conclu, le titulaire de permis doit assurer la tenue des documents suivants</w:t>
      </w:r>
      <w:r w:rsidR="00B15663">
        <w:rPr>
          <w:lang w:val="fr-CA"/>
        </w:rPr>
        <w:t> </w:t>
      </w:r>
      <w:r w:rsidRPr="00683937">
        <w:rPr>
          <w:lang w:val="fr-CA"/>
        </w:rPr>
        <w:t>:</w:t>
      </w:r>
    </w:p>
    <w:p w14:paraId="16BCAC41" w14:textId="77777777" w:rsidR="00E96362" w:rsidRPr="00683937" w:rsidRDefault="00E96362" w:rsidP="00E96362">
      <w:pPr>
        <w:pStyle w:val="BulletList"/>
        <w:keepNext/>
        <w:numPr>
          <w:ilvl w:val="0"/>
          <w:numId w:val="8"/>
        </w:numPr>
        <w:ind w:left="1077" w:hanging="357"/>
        <w:rPr>
          <w:lang w:val="fr-CA"/>
        </w:rPr>
      </w:pPr>
      <w:r>
        <w:rPr>
          <w:lang w:val="fr-CA"/>
        </w:rPr>
        <w:t>l</w:t>
      </w:r>
      <w:r w:rsidRPr="00683937">
        <w:rPr>
          <w:lang w:val="fr-CA"/>
        </w:rPr>
        <w:t>e rapport sommaire sur l’arrêt, lequel doit faire état des activités réalisées, reportées ou exclues de la portée</w:t>
      </w:r>
    </w:p>
    <w:p w14:paraId="5F28E931" w14:textId="77777777" w:rsidR="00E96362" w:rsidRPr="00683937" w:rsidRDefault="00E96362" w:rsidP="00E96362">
      <w:pPr>
        <w:pStyle w:val="BulletListLastItem"/>
        <w:numPr>
          <w:ilvl w:val="0"/>
          <w:numId w:val="8"/>
        </w:numPr>
        <w:ind w:left="1080"/>
        <w:rPr>
          <w:lang w:val="fr-CA"/>
        </w:rPr>
      </w:pPr>
      <w:r>
        <w:rPr>
          <w:lang w:val="fr-CA"/>
        </w:rPr>
        <w:t>l</w:t>
      </w:r>
      <w:r w:rsidRPr="00683937">
        <w:rPr>
          <w:lang w:val="fr-CA"/>
        </w:rPr>
        <w:t>a documentation sur les résultats de la vérification de l’aptitude fonctionnelle</w:t>
      </w:r>
    </w:p>
    <w:p w14:paraId="3F86E3C1" w14:textId="3B525971" w:rsidR="00E96362" w:rsidRPr="00683937" w:rsidRDefault="00E96362" w:rsidP="00E96362">
      <w:pPr>
        <w:pStyle w:val="BodyText"/>
        <w:rPr>
          <w:lang w:val="fr-CA"/>
        </w:rPr>
      </w:pPr>
      <w:r w:rsidRPr="00683937">
        <w:rPr>
          <w:lang w:val="fr-CA"/>
        </w:rPr>
        <w:t>Le titulaire de permis doit fournir ces documents à la CCSN suivant les besoins</w:t>
      </w:r>
      <w:r>
        <w:rPr>
          <w:lang w:val="fr-CA"/>
        </w:rPr>
        <w:t>.</w:t>
      </w:r>
      <w:r w:rsidRPr="00683937">
        <w:rPr>
          <w:lang w:val="fr-CA"/>
        </w:rPr>
        <w:t xml:space="preserve"> </w:t>
      </w:r>
      <w:r>
        <w:rPr>
          <w:lang w:val="fr-CA"/>
        </w:rPr>
        <w:t>P</w:t>
      </w:r>
      <w:r w:rsidRPr="00683937">
        <w:rPr>
          <w:lang w:val="fr-CA"/>
        </w:rPr>
        <w:t>our obtenir plus d’information, veuillez consulter le REGDOC</w:t>
      </w:r>
      <w:r w:rsidRPr="00683937">
        <w:rPr>
          <w:lang w:val="fr-CA"/>
        </w:rPr>
        <w:noBreakHyphen/>
        <w:t xml:space="preserve">3.1.1, </w:t>
      </w:r>
      <w:r w:rsidRPr="00683937">
        <w:rPr>
          <w:i/>
          <w:iCs/>
          <w:lang w:val="fr-CA"/>
        </w:rPr>
        <w:t>Rapports à soumettre par les exploitants de centrales nucléaires</w:t>
      </w:r>
      <w:r w:rsidRPr="00683937">
        <w:rPr>
          <w:lang w:val="fr-CA"/>
        </w:rPr>
        <w:t> [2</w:t>
      </w:r>
      <w:r w:rsidR="006A400F">
        <w:rPr>
          <w:lang w:val="fr-CA"/>
        </w:rPr>
        <w:t>8</w:t>
      </w:r>
      <w:r w:rsidRPr="00683937">
        <w:rPr>
          <w:lang w:val="fr-CA"/>
        </w:rPr>
        <w:t>].</w:t>
      </w:r>
    </w:p>
    <w:p w14:paraId="34DC2C9E" w14:textId="77777777" w:rsidR="00E96362" w:rsidRPr="00683937" w:rsidRDefault="00E96362" w:rsidP="00E96362">
      <w:pPr>
        <w:pStyle w:val="HeadingRequirementsorGuidanceLabel"/>
        <w:rPr>
          <w:lang w:val="fr-CA"/>
        </w:rPr>
      </w:pPr>
      <w:bookmarkStart w:id="291" w:name="_Toc140069094"/>
      <w:r w:rsidRPr="00683937">
        <w:rPr>
          <w:lang w:val="fr-CA"/>
        </w:rPr>
        <w:t>Orientation</w:t>
      </w:r>
      <w:bookmarkEnd w:id="291"/>
    </w:p>
    <w:p w14:paraId="7DA88A81" w14:textId="77777777" w:rsidR="00E96362" w:rsidRPr="00683937" w:rsidRDefault="00E96362" w:rsidP="00E96362">
      <w:pPr>
        <w:pStyle w:val="BodyText"/>
        <w:rPr>
          <w:lang w:val="fr-CA"/>
        </w:rPr>
      </w:pPr>
      <w:r w:rsidRPr="00683937">
        <w:rPr>
          <w:lang w:val="fr-CA"/>
        </w:rPr>
        <w:t>Le titulaire de permis devrait également consigner les leçons retenues de l’arrêt et les possibilités d’amélioration.</w:t>
      </w:r>
    </w:p>
    <w:p w14:paraId="45D6604A" w14:textId="77777777" w:rsidR="00E96362" w:rsidRPr="00683937" w:rsidRDefault="00E96362" w:rsidP="00E96362">
      <w:pPr>
        <w:pStyle w:val="Heading2"/>
        <w:rPr>
          <w:lang w:val="fr-CA"/>
        </w:rPr>
      </w:pPr>
      <w:bookmarkStart w:id="292" w:name="_Toc126324304"/>
      <w:bookmarkStart w:id="293" w:name="_Toc140069095"/>
      <w:bookmarkStart w:id="294" w:name="_Toc140069158"/>
      <w:bookmarkStart w:id="295" w:name="_Toc140069201"/>
      <w:bookmarkStart w:id="296" w:name="_Toc152766333"/>
      <w:r w:rsidRPr="00683937">
        <w:rPr>
          <w:lang w:val="fr-CA"/>
        </w:rPr>
        <w:t>Paramètres d’exploitation sûre</w:t>
      </w:r>
      <w:bookmarkEnd w:id="292"/>
      <w:bookmarkEnd w:id="293"/>
      <w:bookmarkEnd w:id="294"/>
      <w:bookmarkEnd w:id="295"/>
      <w:bookmarkEnd w:id="296"/>
    </w:p>
    <w:p w14:paraId="4C38C03D" w14:textId="6C60A3DF" w:rsidR="00E96362" w:rsidRPr="00683937" w:rsidRDefault="00E96362" w:rsidP="00E96362">
      <w:pPr>
        <w:pStyle w:val="BodyText"/>
        <w:rPr>
          <w:lang w:val="fr-CA"/>
        </w:rPr>
      </w:pPr>
      <w:r w:rsidRPr="00683937">
        <w:rPr>
          <w:lang w:val="fr-CA"/>
        </w:rPr>
        <w:t>Les paramètres d’exploitation sûre (PES) représentent l’ensemble de</w:t>
      </w:r>
      <w:r>
        <w:rPr>
          <w:lang w:val="fr-CA"/>
        </w:rPr>
        <w:t>s</w:t>
      </w:r>
      <w:r w:rsidRPr="00683937">
        <w:rPr>
          <w:lang w:val="fr-CA"/>
        </w:rPr>
        <w:t xml:space="preserve"> limites et de</w:t>
      </w:r>
      <w:r>
        <w:rPr>
          <w:lang w:val="fr-CA"/>
        </w:rPr>
        <w:t>s</w:t>
      </w:r>
      <w:r w:rsidRPr="00683937">
        <w:rPr>
          <w:lang w:val="fr-CA"/>
        </w:rPr>
        <w:t xml:space="preserve"> conditions à l’intérieur desquelles une installation dotée de réacteurs doit être exploitée pour assurer la conformité à l’analyse de </w:t>
      </w:r>
      <w:r>
        <w:rPr>
          <w:lang w:val="fr-CA"/>
        </w:rPr>
        <w:t xml:space="preserve">la </w:t>
      </w:r>
      <w:r w:rsidRPr="00683937">
        <w:rPr>
          <w:lang w:val="fr-CA"/>
        </w:rPr>
        <w:t>sûreté présentée à l’appui du permis d’exploitation, et qui peuvent être surveillées par l’</w:t>
      </w:r>
      <w:r>
        <w:rPr>
          <w:lang w:val="fr-CA"/>
        </w:rPr>
        <w:t>exploitant</w:t>
      </w:r>
      <w:r w:rsidRPr="00683937">
        <w:rPr>
          <w:lang w:val="fr-CA"/>
        </w:rPr>
        <w:t xml:space="preserve"> ou en son nom et contrôlées par lui [2</w:t>
      </w:r>
      <w:r w:rsidR="00A0465B">
        <w:rPr>
          <w:lang w:val="fr-CA"/>
        </w:rPr>
        <w:t>9</w:t>
      </w:r>
      <w:r w:rsidRPr="00683937">
        <w:rPr>
          <w:lang w:val="fr-CA"/>
        </w:rPr>
        <w:t>].</w:t>
      </w:r>
    </w:p>
    <w:p w14:paraId="3833B755" w14:textId="77777777" w:rsidR="00E96362" w:rsidRPr="00683937" w:rsidRDefault="00E96362" w:rsidP="00E96362">
      <w:pPr>
        <w:pStyle w:val="HeadingRequirementsorGuidanceLabel"/>
        <w:rPr>
          <w:lang w:val="fr-CA"/>
        </w:rPr>
      </w:pPr>
      <w:bookmarkStart w:id="297" w:name="_Toc140069096"/>
      <w:r w:rsidRPr="00683937">
        <w:rPr>
          <w:lang w:val="fr-CA"/>
        </w:rPr>
        <w:t>Exigences</w:t>
      </w:r>
      <w:bookmarkEnd w:id="297"/>
    </w:p>
    <w:p w14:paraId="330D032F" w14:textId="77777777" w:rsidR="00E96362" w:rsidRPr="00683937" w:rsidRDefault="00E96362" w:rsidP="00E96362">
      <w:pPr>
        <w:pStyle w:val="BodyText"/>
        <w:rPr>
          <w:lang w:val="fr-CA"/>
        </w:rPr>
      </w:pPr>
      <w:r w:rsidRPr="00683937">
        <w:rPr>
          <w:lang w:val="fr-CA"/>
        </w:rPr>
        <w:t>Le titulaire de permis doit, en tout temps, maintenir et exploiter l’installation dotée de réacteurs à l’intérieur des limites des PES.</w:t>
      </w:r>
    </w:p>
    <w:p w14:paraId="153FEA9C" w14:textId="77777777" w:rsidR="00E96362" w:rsidRPr="00683937" w:rsidRDefault="00E96362" w:rsidP="00E96362">
      <w:pPr>
        <w:pStyle w:val="HeadingRequirementsorGuidanceLabel"/>
        <w:rPr>
          <w:lang w:val="fr-CA"/>
        </w:rPr>
      </w:pPr>
      <w:bookmarkStart w:id="298" w:name="_Toc140069097"/>
      <w:r w:rsidRPr="00683937">
        <w:rPr>
          <w:lang w:val="fr-CA"/>
        </w:rPr>
        <w:t>Orientation</w:t>
      </w:r>
      <w:bookmarkEnd w:id="298"/>
    </w:p>
    <w:p w14:paraId="50180F8E" w14:textId="2BC0ECE7" w:rsidR="00E96362" w:rsidRPr="00683937" w:rsidRDefault="00E96362" w:rsidP="00E96362">
      <w:pPr>
        <w:pStyle w:val="BodyText"/>
        <w:rPr>
          <w:lang w:val="fr-CA"/>
        </w:rPr>
      </w:pPr>
      <w:r w:rsidRPr="00683937">
        <w:rPr>
          <w:lang w:val="fr-CA"/>
        </w:rPr>
        <w:t xml:space="preserve">Pour obtenir de l’information sur les exigences générales relatives aux PES, veuillez consulter la norme CSA N290.15, </w:t>
      </w:r>
      <w:r w:rsidRPr="00683937">
        <w:rPr>
          <w:i/>
          <w:iCs/>
          <w:lang w:val="fr-CA"/>
        </w:rPr>
        <w:t>Exigences relatives à l’enveloppe d’exploitation sûre des centrales nucléaires</w:t>
      </w:r>
      <w:r w:rsidRPr="00683937">
        <w:rPr>
          <w:lang w:val="fr-CA"/>
        </w:rPr>
        <w:t> [</w:t>
      </w:r>
      <w:r w:rsidR="007C177A">
        <w:rPr>
          <w:lang w:val="fr-CA"/>
        </w:rPr>
        <w:t>2</w:t>
      </w:r>
      <w:r w:rsidR="006A400F">
        <w:rPr>
          <w:lang w:val="fr-CA"/>
        </w:rPr>
        <w:t>5</w:t>
      </w:r>
      <w:r w:rsidRPr="00683937">
        <w:rPr>
          <w:lang w:val="fr-CA"/>
        </w:rPr>
        <w:t>].</w:t>
      </w:r>
    </w:p>
    <w:p w14:paraId="46198CDB" w14:textId="77777777" w:rsidR="00E96362" w:rsidRPr="00683937" w:rsidRDefault="00E96362" w:rsidP="00E96362">
      <w:pPr>
        <w:pStyle w:val="Heading3"/>
        <w:rPr>
          <w:lang w:val="fr-CA"/>
        </w:rPr>
      </w:pPr>
      <w:bookmarkStart w:id="299" w:name="_Toc126324305"/>
      <w:bookmarkStart w:id="300" w:name="_Toc140069098"/>
      <w:bookmarkStart w:id="301" w:name="_Toc140069159"/>
      <w:bookmarkStart w:id="302" w:name="_Toc140069202"/>
      <w:bookmarkStart w:id="303" w:name="_Toc152766334"/>
      <w:r w:rsidRPr="00683937">
        <w:rPr>
          <w:lang w:val="fr-CA"/>
        </w:rPr>
        <w:t>Limites et conditions d’exploitation</w:t>
      </w:r>
      <w:bookmarkEnd w:id="299"/>
      <w:bookmarkEnd w:id="300"/>
      <w:bookmarkEnd w:id="301"/>
      <w:bookmarkEnd w:id="302"/>
      <w:bookmarkEnd w:id="303"/>
    </w:p>
    <w:p w14:paraId="5D3D9854" w14:textId="77777777" w:rsidR="00E96362" w:rsidRPr="00683937" w:rsidRDefault="00E96362" w:rsidP="00E96362">
      <w:pPr>
        <w:pStyle w:val="HeadingRequirementsorGuidanceLabel"/>
        <w:rPr>
          <w:lang w:val="fr-CA"/>
        </w:rPr>
      </w:pPr>
      <w:bookmarkStart w:id="304" w:name="_Toc140069099"/>
      <w:r w:rsidRPr="00683937">
        <w:rPr>
          <w:lang w:val="fr-CA"/>
        </w:rPr>
        <w:t>Exigences</w:t>
      </w:r>
      <w:bookmarkEnd w:id="304"/>
    </w:p>
    <w:p w14:paraId="1F09C880" w14:textId="77777777" w:rsidR="00E96362" w:rsidRPr="00683937" w:rsidRDefault="00E96362" w:rsidP="00E96362">
      <w:pPr>
        <w:pStyle w:val="BodyText"/>
        <w:rPr>
          <w:lang w:val="fr-CA"/>
        </w:rPr>
      </w:pPr>
      <w:r w:rsidRPr="00683937">
        <w:rPr>
          <w:lang w:val="fr-CA"/>
        </w:rPr>
        <w:t>Le titulaire de permis doit élaborer des limites et conditions d’exploitation (LCE) pour s’assurer que l’installation est exploitée conformément aux hypothèses et intentions de conception ainsi qu’au fondement d’autorisation.</w:t>
      </w:r>
    </w:p>
    <w:p w14:paraId="555DA540" w14:textId="7BCCA6CE" w:rsidR="00E96362" w:rsidRPr="00683937" w:rsidRDefault="00E96362" w:rsidP="00E96362">
      <w:pPr>
        <w:pStyle w:val="BodyText"/>
        <w:keepNext/>
        <w:spacing w:after="0"/>
        <w:rPr>
          <w:lang w:val="fr-CA"/>
        </w:rPr>
      </w:pPr>
      <w:r w:rsidRPr="00683937">
        <w:rPr>
          <w:lang w:val="fr-CA"/>
        </w:rPr>
        <w:t>Le titulaire de permis doit établir des LCE qui</w:t>
      </w:r>
      <w:r w:rsidR="00B15663">
        <w:rPr>
          <w:lang w:val="fr-CA"/>
        </w:rPr>
        <w:t> </w:t>
      </w:r>
      <w:r w:rsidRPr="00683937">
        <w:rPr>
          <w:lang w:val="fr-CA"/>
        </w:rPr>
        <w:t>:</w:t>
      </w:r>
    </w:p>
    <w:p w14:paraId="04995E6C" w14:textId="77777777" w:rsidR="00E96362" w:rsidRPr="00683937" w:rsidRDefault="00E96362" w:rsidP="00E96362">
      <w:pPr>
        <w:pStyle w:val="BulletList"/>
        <w:keepNext/>
        <w:numPr>
          <w:ilvl w:val="0"/>
          <w:numId w:val="8"/>
        </w:numPr>
        <w:ind w:left="1080"/>
        <w:rPr>
          <w:lang w:val="fr-CA"/>
        </w:rPr>
      </w:pPr>
      <w:r w:rsidRPr="00683937">
        <w:rPr>
          <w:lang w:val="fr-CA"/>
        </w:rPr>
        <w:t>maintiennent une défense en profondeur adéquate</w:t>
      </w:r>
    </w:p>
    <w:p w14:paraId="0AC8045E" w14:textId="77777777" w:rsidR="00E96362" w:rsidRPr="00683937" w:rsidRDefault="00E96362" w:rsidP="00E96362">
      <w:pPr>
        <w:pStyle w:val="BulletList"/>
        <w:keepNext/>
        <w:numPr>
          <w:ilvl w:val="0"/>
          <w:numId w:val="8"/>
        </w:numPr>
        <w:ind w:left="1080"/>
        <w:rPr>
          <w:lang w:val="fr-CA"/>
        </w:rPr>
      </w:pPr>
      <w:r w:rsidRPr="00683937">
        <w:rPr>
          <w:lang w:val="fr-CA"/>
        </w:rPr>
        <w:t>préservent les marges de sûreté</w:t>
      </w:r>
    </w:p>
    <w:p w14:paraId="365C474A" w14:textId="77777777" w:rsidR="00E96362" w:rsidRPr="00683937" w:rsidRDefault="00E96362" w:rsidP="00E96362">
      <w:pPr>
        <w:pStyle w:val="BulletListLastItem"/>
        <w:numPr>
          <w:ilvl w:val="0"/>
          <w:numId w:val="8"/>
        </w:numPr>
        <w:ind w:left="1080"/>
        <w:rPr>
          <w:lang w:val="fr-CA"/>
        </w:rPr>
      </w:pPr>
      <w:r w:rsidRPr="00683937">
        <w:rPr>
          <w:lang w:val="fr-CA"/>
        </w:rPr>
        <w:t>préviennent les conditions pouvant mener à des incidents de fonctionnement prévus (IFP) ou à des conditions d’accident</w:t>
      </w:r>
    </w:p>
    <w:p w14:paraId="0D27C41E" w14:textId="77777777" w:rsidR="00E96362" w:rsidRPr="00683937" w:rsidRDefault="00E96362" w:rsidP="00E96362">
      <w:pPr>
        <w:pStyle w:val="BodyText"/>
        <w:rPr>
          <w:lang w:val="fr-CA"/>
        </w:rPr>
      </w:pPr>
      <w:r w:rsidRPr="00683937">
        <w:rPr>
          <w:lang w:val="fr-CA"/>
        </w:rPr>
        <w:t>Le titulaire de permis doit s’assurer que les LCE reflètent la conception approuvée et qu’elles reposent sur le fondement d’autorisation.</w:t>
      </w:r>
    </w:p>
    <w:p w14:paraId="499B6B65" w14:textId="212F4C23" w:rsidR="00E96362" w:rsidRPr="00683937" w:rsidRDefault="00E96362" w:rsidP="00E96362">
      <w:pPr>
        <w:pStyle w:val="BodyText"/>
        <w:keepNext/>
        <w:spacing w:after="0"/>
        <w:rPr>
          <w:lang w:val="fr-CA"/>
        </w:rPr>
      </w:pPr>
      <w:r w:rsidRPr="00683937">
        <w:rPr>
          <w:lang w:val="fr-CA"/>
        </w:rPr>
        <w:t>Le titulaire de permis doit s’assurer que les LCE</w:t>
      </w:r>
      <w:r w:rsidR="00B15663">
        <w:rPr>
          <w:lang w:val="fr-CA"/>
        </w:rPr>
        <w:t> </w:t>
      </w:r>
      <w:r w:rsidRPr="00683937">
        <w:rPr>
          <w:lang w:val="fr-CA"/>
        </w:rPr>
        <w:t>:</w:t>
      </w:r>
    </w:p>
    <w:p w14:paraId="6A73D9E1" w14:textId="77777777" w:rsidR="00E96362" w:rsidRPr="00683937" w:rsidRDefault="00E96362" w:rsidP="00E96362">
      <w:pPr>
        <w:pStyle w:val="BulletList"/>
        <w:keepNext/>
        <w:numPr>
          <w:ilvl w:val="0"/>
          <w:numId w:val="8"/>
        </w:numPr>
        <w:ind w:left="1080" w:hanging="357"/>
        <w:rPr>
          <w:lang w:val="fr-CA"/>
        </w:rPr>
      </w:pPr>
      <w:r w:rsidRPr="00683937">
        <w:rPr>
          <w:lang w:val="fr-CA"/>
        </w:rPr>
        <w:t>comprennent des exigences d’exploitation normale, y compris pour les arrêts du réacteur</w:t>
      </w:r>
    </w:p>
    <w:p w14:paraId="797A84EC" w14:textId="77777777" w:rsidR="00E96362" w:rsidRPr="00683937" w:rsidRDefault="00E96362" w:rsidP="00E96362">
      <w:pPr>
        <w:pStyle w:val="BulletList"/>
        <w:keepNext/>
        <w:numPr>
          <w:ilvl w:val="0"/>
          <w:numId w:val="8"/>
        </w:numPr>
        <w:ind w:left="1080" w:hanging="357"/>
        <w:rPr>
          <w:lang w:val="fr-CA"/>
        </w:rPr>
      </w:pPr>
      <w:r w:rsidRPr="00683937">
        <w:rPr>
          <w:lang w:val="fr-CA"/>
        </w:rPr>
        <w:t>traitent des mesures que le personnel d’exploitation doit prendre et des limites que celui-ci doit respecter</w:t>
      </w:r>
    </w:p>
    <w:p w14:paraId="6C4A390F" w14:textId="4C138DD0" w:rsidR="00E96362" w:rsidRPr="00683937" w:rsidRDefault="00E96362" w:rsidP="00E96362">
      <w:pPr>
        <w:pStyle w:val="BulletList"/>
        <w:keepNext/>
        <w:numPr>
          <w:ilvl w:val="0"/>
          <w:numId w:val="8"/>
        </w:numPr>
        <w:ind w:left="1080" w:hanging="357"/>
        <w:rPr>
          <w:lang w:val="fr-CA"/>
        </w:rPr>
      </w:pPr>
      <w:r w:rsidRPr="00683937">
        <w:rPr>
          <w:lang w:val="fr-CA"/>
        </w:rPr>
        <w:t>traitent de ce qui suit</w:t>
      </w:r>
      <w:r w:rsidR="00B15663">
        <w:rPr>
          <w:lang w:val="fr-CA"/>
        </w:rPr>
        <w:t> </w:t>
      </w:r>
      <w:r w:rsidRPr="00683937">
        <w:rPr>
          <w:lang w:val="fr-CA"/>
        </w:rPr>
        <w:t>:</w:t>
      </w:r>
    </w:p>
    <w:p w14:paraId="767BE0DE" w14:textId="77777777" w:rsidR="00E96362" w:rsidRPr="00683937" w:rsidRDefault="00E96362" w:rsidP="00E96362">
      <w:pPr>
        <w:pStyle w:val="BulletListSub-item"/>
        <w:keepNext/>
        <w:numPr>
          <w:ilvl w:val="0"/>
          <w:numId w:val="7"/>
        </w:numPr>
        <w:ind w:left="1440" w:hanging="357"/>
        <w:rPr>
          <w:lang w:val="fr-CA"/>
        </w:rPr>
      </w:pPr>
      <w:r>
        <w:rPr>
          <w:lang w:val="fr-CA"/>
        </w:rPr>
        <w:t>l</w:t>
      </w:r>
      <w:r w:rsidRPr="00683937">
        <w:rPr>
          <w:lang w:val="fr-CA"/>
        </w:rPr>
        <w:t xml:space="preserve">es limites de sûreté; </w:t>
      </w:r>
    </w:p>
    <w:p w14:paraId="096E9E8F" w14:textId="77777777" w:rsidR="00E96362" w:rsidRPr="00683937" w:rsidRDefault="00E96362" w:rsidP="00E96362">
      <w:pPr>
        <w:pStyle w:val="BulletListSub-item"/>
        <w:numPr>
          <w:ilvl w:val="0"/>
          <w:numId w:val="7"/>
        </w:numPr>
        <w:ind w:left="1440"/>
        <w:rPr>
          <w:lang w:val="fr-CA"/>
        </w:rPr>
      </w:pPr>
      <w:r>
        <w:rPr>
          <w:lang w:val="fr-CA"/>
        </w:rPr>
        <w:t>l</w:t>
      </w:r>
      <w:r w:rsidRPr="00683937">
        <w:rPr>
          <w:lang w:val="fr-CA"/>
        </w:rPr>
        <w:t>es paramètres limitatifs des systèmes de sûreté</w:t>
      </w:r>
    </w:p>
    <w:p w14:paraId="73C59BCD" w14:textId="77777777" w:rsidR="00E96362" w:rsidRPr="00683937" w:rsidRDefault="00E96362" w:rsidP="00E96362">
      <w:pPr>
        <w:pStyle w:val="BulletListSub-item"/>
        <w:numPr>
          <w:ilvl w:val="0"/>
          <w:numId w:val="7"/>
        </w:numPr>
        <w:ind w:left="1440"/>
        <w:rPr>
          <w:lang w:val="fr-CA"/>
        </w:rPr>
      </w:pPr>
      <w:r>
        <w:rPr>
          <w:lang w:val="fr-CA"/>
        </w:rPr>
        <w:t>l</w:t>
      </w:r>
      <w:r w:rsidRPr="00683937">
        <w:rPr>
          <w:lang w:val="fr-CA"/>
        </w:rPr>
        <w:t>es limites et conditions pour le mode d’exploitation normale</w:t>
      </w:r>
    </w:p>
    <w:p w14:paraId="7EF70F17" w14:textId="77777777" w:rsidR="00E96362" w:rsidRPr="00683937" w:rsidRDefault="00E96362" w:rsidP="00E96362">
      <w:pPr>
        <w:pStyle w:val="BulletListSub-item"/>
        <w:numPr>
          <w:ilvl w:val="0"/>
          <w:numId w:val="7"/>
        </w:numPr>
        <w:ind w:left="1440"/>
        <w:rPr>
          <w:lang w:val="fr-CA"/>
        </w:rPr>
      </w:pPr>
      <w:r>
        <w:rPr>
          <w:lang w:val="fr-CA"/>
        </w:rPr>
        <w:t>l</w:t>
      </w:r>
      <w:r w:rsidRPr="00683937">
        <w:rPr>
          <w:lang w:val="fr-CA"/>
        </w:rPr>
        <w:t>es exigences en matière de surveillance et de mise à l’essai</w:t>
      </w:r>
    </w:p>
    <w:p w14:paraId="670ADCDD" w14:textId="77777777" w:rsidR="00E96362" w:rsidRPr="00683937" w:rsidRDefault="00E96362" w:rsidP="00E96362">
      <w:pPr>
        <w:pStyle w:val="BulletListSub-item"/>
        <w:numPr>
          <w:ilvl w:val="0"/>
          <w:numId w:val="7"/>
        </w:numPr>
        <w:ind w:left="1440"/>
        <w:rPr>
          <w:lang w:val="fr-CA"/>
        </w:rPr>
      </w:pPr>
      <w:r>
        <w:rPr>
          <w:lang w:val="fr-CA"/>
        </w:rPr>
        <w:t>l</w:t>
      </w:r>
      <w:r w:rsidRPr="00683937">
        <w:rPr>
          <w:lang w:val="fr-CA"/>
        </w:rPr>
        <w:t>es énoncés d’intervention et niveaux d’approbation requis pour les écarts par rapport au mode d’exploitation normale</w:t>
      </w:r>
    </w:p>
    <w:p w14:paraId="26C7FFB3" w14:textId="77777777" w:rsidR="00E96362" w:rsidRPr="00683937" w:rsidRDefault="00E96362" w:rsidP="00E96362">
      <w:pPr>
        <w:pStyle w:val="BulletListSub-item"/>
        <w:keepNext/>
        <w:numPr>
          <w:ilvl w:val="0"/>
          <w:numId w:val="7"/>
        </w:numPr>
        <w:ind w:left="1434" w:hanging="357"/>
        <w:rPr>
          <w:lang w:val="fr-CA"/>
        </w:rPr>
      </w:pPr>
      <w:r>
        <w:rPr>
          <w:lang w:val="fr-CA"/>
        </w:rPr>
        <w:t>l</w:t>
      </w:r>
      <w:r w:rsidRPr="00683937">
        <w:rPr>
          <w:lang w:val="fr-CA"/>
        </w:rPr>
        <w:t>es IFP, y compris les états d’arrêt du réacteur</w:t>
      </w:r>
    </w:p>
    <w:p w14:paraId="61A941B4" w14:textId="77777777" w:rsidR="00E96362" w:rsidRPr="00683937" w:rsidRDefault="00E96362" w:rsidP="00E96362">
      <w:pPr>
        <w:pStyle w:val="BulletListSub-itemBottom"/>
        <w:tabs>
          <w:tab w:val="num" w:pos="2492"/>
        </w:tabs>
        <w:rPr>
          <w:lang w:val="fr-CA"/>
        </w:rPr>
      </w:pPr>
      <w:r>
        <w:rPr>
          <w:lang w:val="fr-CA"/>
        </w:rPr>
        <w:t>l</w:t>
      </w:r>
      <w:r w:rsidRPr="00683937">
        <w:rPr>
          <w:lang w:val="fr-CA"/>
        </w:rPr>
        <w:t>es configurations d’exploitation spécifiées, y compris les restrictions de fonctionnement en cas de non-disponibilité des SSC importants pour la sûreté</w:t>
      </w:r>
    </w:p>
    <w:p w14:paraId="354A81C4" w14:textId="77777777" w:rsidR="00E96362" w:rsidRPr="00683937" w:rsidRDefault="00E96362" w:rsidP="00E96362">
      <w:pPr>
        <w:pStyle w:val="BodyText"/>
        <w:rPr>
          <w:lang w:val="fr-CA"/>
        </w:rPr>
      </w:pPr>
      <w:r w:rsidRPr="00683937">
        <w:rPr>
          <w:lang w:val="fr-CA"/>
        </w:rPr>
        <w:t>Le titulaire de permis doit passer en revue et réviser les LCE au besoin en fonction de l’expérience, des avancées technologiques, des mises à jour de l’analyse de la sûreté et des changements dans l’installation.</w:t>
      </w:r>
    </w:p>
    <w:p w14:paraId="0660FAD9" w14:textId="77777777" w:rsidR="00E96362" w:rsidRPr="00683937" w:rsidRDefault="00E96362" w:rsidP="00E96362">
      <w:pPr>
        <w:pStyle w:val="BodyText"/>
        <w:rPr>
          <w:lang w:val="fr-CA"/>
        </w:rPr>
      </w:pPr>
      <w:r w:rsidRPr="00683937">
        <w:rPr>
          <w:lang w:val="fr-CA"/>
        </w:rPr>
        <w:t>Le titulaire de permis doit soumettre les LCE à l’évaluation et à l’approbation de l’organisme de réglementation applicable (CCSN ou autorité provinciale) avant d’entamer l’exploitation.</w:t>
      </w:r>
    </w:p>
    <w:p w14:paraId="5184049D" w14:textId="77777777" w:rsidR="00E96362" w:rsidRPr="0041167D" w:rsidRDefault="00E96362" w:rsidP="00E96362">
      <w:pPr>
        <w:pStyle w:val="HeadingRequirementsorGuidanceLabel"/>
        <w:rPr>
          <w:lang w:val="en-CA"/>
        </w:rPr>
      </w:pPr>
      <w:bookmarkStart w:id="305" w:name="_Toc140069100"/>
      <w:r w:rsidRPr="0041167D">
        <w:rPr>
          <w:lang w:val="en-CA"/>
        </w:rPr>
        <w:t>Orientation</w:t>
      </w:r>
      <w:bookmarkEnd w:id="305"/>
    </w:p>
    <w:p w14:paraId="09526CC7" w14:textId="335CB02B" w:rsidR="0032696B" w:rsidRPr="00C97FE8" w:rsidRDefault="00C97FE8" w:rsidP="0032696B">
      <w:pPr>
        <w:pStyle w:val="BodyText"/>
        <w:rPr>
          <w:lang w:val="fr-CA"/>
        </w:rPr>
      </w:pPr>
      <w:r w:rsidRPr="000F1273">
        <w:rPr>
          <w:lang w:val="fr-CA"/>
        </w:rPr>
        <w:t>Le titulaire de permis devrait élaborer les LCE en se fondant sur l</w:t>
      </w:r>
      <w:r>
        <w:rPr>
          <w:lang w:val="fr-CA"/>
        </w:rPr>
        <w:t>’</w:t>
      </w:r>
      <w:r w:rsidRPr="000F1273">
        <w:rPr>
          <w:lang w:val="fr-CA"/>
        </w:rPr>
        <w:t>analyse de la sûreté de l</w:t>
      </w:r>
      <w:r>
        <w:rPr>
          <w:lang w:val="fr-CA"/>
        </w:rPr>
        <w:t>’</w:t>
      </w:r>
      <w:r w:rsidRPr="000F1273">
        <w:rPr>
          <w:lang w:val="fr-CA"/>
        </w:rPr>
        <w:t>installation et en utilisant l</w:t>
      </w:r>
      <w:r>
        <w:rPr>
          <w:lang w:val="fr-CA"/>
        </w:rPr>
        <w:t>’</w:t>
      </w:r>
      <w:r w:rsidRPr="000F1273">
        <w:rPr>
          <w:lang w:val="fr-CA"/>
        </w:rPr>
        <w:t>analyse déterministe de la sûreté et l</w:t>
      </w:r>
      <w:r>
        <w:rPr>
          <w:lang w:val="fr-CA"/>
        </w:rPr>
        <w:t>’</w:t>
      </w:r>
      <w:r w:rsidRPr="000F1273">
        <w:rPr>
          <w:lang w:val="fr-CA"/>
        </w:rPr>
        <w:t>étude probabiliste de sûreté (EPS) en complément, s</w:t>
      </w:r>
      <w:r>
        <w:rPr>
          <w:lang w:val="fr-CA"/>
        </w:rPr>
        <w:t>’</w:t>
      </w:r>
      <w:r w:rsidRPr="000F1273">
        <w:rPr>
          <w:lang w:val="fr-CA"/>
        </w:rPr>
        <w:t>il y a lieu. Si une approche tenant compte du risque est utilisée, le titulaire de permis devrait suivre le processus décrit à la section</w:t>
      </w:r>
      <w:r>
        <w:rPr>
          <w:lang w:val="fr-CA"/>
        </w:rPr>
        <w:t> </w:t>
      </w:r>
      <w:r w:rsidRPr="000F1273">
        <w:rPr>
          <w:lang w:val="fr-CA"/>
        </w:rPr>
        <w:t xml:space="preserve">2.3.2 </w:t>
      </w:r>
      <w:r w:rsidRPr="000F1273">
        <w:rPr>
          <w:i/>
          <w:iCs/>
          <w:lang w:val="fr-CA"/>
        </w:rPr>
        <w:t xml:space="preserve">Prise de décision </w:t>
      </w:r>
      <w:r>
        <w:rPr>
          <w:i/>
          <w:iCs/>
          <w:lang w:val="fr-CA"/>
        </w:rPr>
        <w:t>en matière d’exploitation</w:t>
      </w:r>
      <w:r w:rsidRPr="000F1273">
        <w:rPr>
          <w:lang w:val="fr-CA"/>
        </w:rPr>
        <w:t xml:space="preserve"> du présent document d</w:t>
      </w:r>
      <w:r>
        <w:rPr>
          <w:lang w:val="fr-CA"/>
        </w:rPr>
        <w:t>’</w:t>
      </w:r>
      <w:r w:rsidRPr="000F1273">
        <w:rPr>
          <w:lang w:val="fr-CA"/>
        </w:rPr>
        <w:t>application de la réglementation</w:t>
      </w:r>
      <w:r>
        <w:rPr>
          <w:lang w:val="fr-CA"/>
        </w:rPr>
        <w:t>.</w:t>
      </w:r>
    </w:p>
    <w:p w14:paraId="3A23C777" w14:textId="36A8615A" w:rsidR="0032696B" w:rsidRPr="00C97FE8" w:rsidRDefault="00C97FE8" w:rsidP="0032696B">
      <w:pPr>
        <w:pStyle w:val="BodyText"/>
        <w:rPr>
          <w:lang w:val="fr-CA"/>
        </w:rPr>
      </w:pPr>
      <w:r w:rsidRPr="000F1273">
        <w:rPr>
          <w:lang w:val="fr-CA"/>
        </w:rPr>
        <w:t>Le titulaire de permis ne devrait pas utiliser uniquement les résultats et les données de l</w:t>
      </w:r>
      <w:r>
        <w:rPr>
          <w:lang w:val="fr-CA"/>
        </w:rPr>
        <w:t>’</w:t>
      </w:r>
      <w:r w:rsidRPr="000F1273">
        <w:rPr>
          <w:lang w:val="fr-CA"/>
        </w:rPr>
        <w:t xml:space="preserve">EPS, y compris </w:t>
      </w:r>
      <w:r>
        <w:rPr>
          <w:lang w:val="fr-CA"/>
        </w:rPr>
        <w:t xml:space="preserve">les </w:t>
      </w:r>
      <w:r w:rsidRPr="000F1273">
        <w:rPr>
          <w:lang w:val="fr-CA"/>
        </w:rPr>
        <w:t>outils de suivi du risque, pour justifier des écarts temporaires par rapport aux LCE.</w:t>
      </w:r>
    </w:p>
    <w:p w14:paraId="24BDB49A" w14:textId="457CD21F" w:rsidR="0003045D" w:rsidRPr="00C97FE8" w:rsidRDefault="00C97FE8" w:rsidP="0032696B">
      <w:pPr>
        <w:pStyle w:val="BodyText"/>
        <w:rPr>
          <w:lang w:val="fr-CA"/>
        </w:rPr>
      </w:pPr>
      <w:r w:rsidRPr="000F1273">
        <w:rPr>
          <w:lang w:val="fr-CA"/>
        </w:rPr>
        <w:t>Le titulaire de permis peut utiliser les résultats et les données de l</w:t>
      </w:r>
      <w:r>
        <w:rPr>
          <w:lang w:val="fr-CA"/>
        </w:rPr>
        <w:t>’</w:t>
      </w:r>
      <w:r w:rsidRPr="000F1273">
        <w:rPr>
          <w:lang w:val="fr-CA"/>
        </w:rPr>
        <w:t>EPS, y compris les outils de suivi du risque, pour évaluer l</w:t>
      </w:r>
      <w:r>
        <w:rPr>
          <w:lang w:val="fr-CA"/>
        </w:rPr>
        <w:t>’</w:t>
      </w:r>
      <w:r w:rsidRPr="000F1273">
        <w:rPr>
          <w:lang w:val="fr-CA"/>
        </w:rPr>
        <w:t>incidence des configurations de l</w:t>
      </w:r>
      <w:r>
        <w:rPr>
          <w:lang w:val="fr-CA"/>
        </w:rPr>
        <w:t>’</w:t>
      </w:r>
      <w:r w:rsidRPr="000F1273">
        <w:rPr>
          <w:lang w:val="fr-CA"/>
        </w:rPr>
        <w:t xml:space="preserve">installation qui entraînent </w:t>
      </w:r>
      <w:r>
        <w:rPr>
          <w:lang w:val="fr-CA"/>
        </w:rPr>
        <w:t>une</w:t>
      </w:r>
      <w:r w:rsidRPr="000F1273">
        <w:rPr>
          <w:lang w:val="fr-CA"/>
        </w:rPr>
        <w:t xml:space="preserve"> indisponibilité des SSC. Le titulaire de permis devrait évaluer et gérer le risque, avec des mesures compensatoires appropriées.</w:t>
      </w:r>
    </w:p>
    <w:p w14:paraId="50B1D433" w14:textId="5EC9986B" w:rsidR="00E96362" w:rsidRPr="00683937" w:rsidRDefault="00E96362" w:rsidP="00E96362">
      <w:pPr>
        <w:pStyle w:val="BodyText"/>
        <w:keepNext/>
        <w:spacing w:after="0"/>
        <w:rPr>
          <w:lang w:val="fr-CA"/>
        </w:rPr>
      </w:pPr>
      <w:r w:rsidRPr="00683937">
        <w:rPr>
          <w:lang w:val="fr-CA"/>
        </w:rPr>
        <w:t>Pour obtenir plus d’information sur</w:t>
      </w:r>
      <w:r w:rsidR="00B15663">
        <w:rPr>
          <w:lang w:val="fr-CA"/>
        </w:rPr>
        <w:t> </w:t>
      </w:r>
      <w:r w:rsidRPr="00683937">
        <w:rPr>
          <w:lang w:val="fr-CA"/>
        </w:rPr>
        <w:t>:</w:t>
      </w:r>
    </w:p>
    <w:p w14:paraId="51268836" w14:textId="6B256ECA" w:rsidR="00E96362" w:rsidRDefault="00E96362" w:rsidP="00E96362">
      <w:pPr>
        <w:pStyle w:val="BulletList"/>
        <w:numPr>
          <w:ilvl w:val="0"/>
          <w:numId w:val="8"/>
        </w:numPr>
        <w:ind w:left="1080"/>
        <w:rPr>
          <w:lang w:val="fr-CA"/>
        </w:rPr>
      </w:pPr>
      <w:r w:rsidRPr="00683937">
        <w:rPr>
          <w:lang w:val="fr-CA"/>
        </w:rPr>
        <w:t>l’analyse déterministe de la sûreté et la manière dont les LCE en découlent, veuillez consulter le REGDOC</w:t>
      </w:r>
      <w:r w:rsidRPr="00683937">
        <w:rPr>
          <w:lang w:val="fr-CA"/>
        </w:rPr>
        <w:noBreakHyphen/>
        <w:t xml:space="preserve">2.4.1, </w:t>
      </w:r>
      <w:r w:rsidRPr="00683937">
        <w:rPr>
          <w:i/>
          <w:iCs/>
          <w:lang w:val="fr-CA"/>
        </w:rPr>
        <w:t>Analyse déterministe de la sûreté</w:t>
      </w:r>
      <w:r w:rsidRPr="00683937">
        <w:rPr>
          <w:lang w:val="fr-CA"/>
        </w:rPr>
        <w:t> [</w:t>
      </w:r>
      <w:r w:rsidR="00A0465B">
        <w:rPr>
          <w:lang w:val="fr-CA"/>
        </w:rPr>
        <w:t>30</w:t>
      </w:r>
      <w:r w:rsidRPr="00683937">
        <w:rPr>
          <w:lang w:val="fr-CA"/>
        </w:rPr>
        <w:t>]</w:t>
      </w:r>
    </w:p>
    <w:p w14:paraId="161827A8" w14:textId="73E00266" w:rsidR="0003045D" w:rsidRPr="00683937" w:rsidRDefault="0003045D" w:rsidP="00E96362">
      <w:pPr>
        <w:pStyle w:val="BulletList"/>
        <w:numPr>
          <w:ilvl w:val="0"/>
          <w:numId w:val="8"/>
        </w:numPr>
        <w:ind w:left="1080"/>
        <w:rPr>
          <w:lang w:val="fr-CA"/>
        </w:rPr>
      </w:pPr>
      <w:r w:rsidRPr="00683937">
        <w:rPr>
          <w:lang w:val="fr-CA"/>
        </w:rPr>
        <w:t>l’élaboration des LCE pour les nouvelles installations dotées de réacteurs, veuillez consulter le REGDOC</w:t>
      </w:r>
      <w:r w:rsidRPr="00683937">
        <w:rPr>
          <w:lang w:val="fr-CA"/>
        </w:rPr>
        <w:noBreakHyphen/>
        <w:t xml:space="preserve">2.5.2, </w:t>
      </w:r>
      <w:r w:rsidRPr="00683937">
        <w:rPr>
          <w:i/>
          <w:iCs/>
          <w:lang w:val="fr-CA"/>
        </w:rPr>
        <w:t>Conception d’installations dotées de réacteurs</w:t>
      </w:r>
      <w:r w:rsidRPr="00683937">
        <w:rPr>
          <w:lang w:val="fr-CA"/>
        </w:rPr>
        <w:t> [1</w:t>
      </w:r>
      <w:r w:rsidR="006A400F">
        <w:rPr>
          <w:lang w:val="fr-CA"/>
        </w:rPr>
        <w:t>1</w:t>
      </w:r>
      <w:r w:rsidRPr="00683937">
        <w:rPr>
          <w:lang w:val="fr-CA"/>
        </w:rPr>
        <w:t>]</w:t>
      </w:r>
    </w:p>
    <w:p w14:paraId="4E4457BB" w14:textId="65AF7F72" w:rsidR="00E96362" w:rsidRPr="00C97FE8" w:rsidRDefault="00C97FE8" w:rsidP="00E96362">
      <w:pPr>
        <w:pStyle w:val="BulletListLastItem"/>
        <w:numPr>
          <w:ilvl w:val="0"/>
          <w:numId w:val="8"/>
        </w:numPr>
        <w:ind w:left="1080"/>
        <w:rPr>
          <w:lang w:val="fr-CA"/>
        </w:rPr>
      </w:pPr>
      <w:r w:rsidRPr="000F1273">
        <w:rPr>
          <w:lang w:val="fr-CA"/>
        </w:rPr>
        <w:t>l’élaboration et l’application de LCE, veuillez consulter le document de l’AIEA SSG</w:t>
      </w:r>
      <w:r w:rsidRPr="000F1273">
        <w:rPr>
          <w:lang w:val="fr-CA"/>
        </w:rPr>
        <w:noBreakHyphen/>
        <w:t xml:space="preserve">70, </w:t>
      </w:r>
      <w:r w:rsidRPr="0082259E">
        <w:rPr>
          <w:i/>
          <w:iCs/>
          <w:u w:color="0000FF"/>
          <w:lang w:val="fr-CA"/>
        </w:rPr>
        <w:t>Limites et conditions d’exploitation et procédures de conduite des centrales nucléaires</w:t>
      </w:r>
      <w:r>
        <w:rPr>
          <w:lang w:val="fr-CA"/>
        </w:rPr>
        <w:t> </w:t>
      </w:r>
      <w:r w:rsidRPr="000F1273">
        <w:rPr>
          <w:lang w:val="fr-CA"/>
        </w:rPr>
        <w:t>[31]</w:t>
      </w:r>
    </w:p>
    <w:p w14:paraId="2EE69227" w14:textId="77777777" w:rsidR="00E96362" w:rsidRPr="00683937" w:rsidRDefault="00E96362" w:rsidP="00E96362">
      <w:pPr>
        <w:pStyle w:val="Heading3"/>
        <w:rPr>
          <w:lang w:val="fr-CA"/>
        </w:rPr>
      </w:pPr>
      <w:bookmarkStart w:id="306" w:name="_Toc126324306"/>
      <w:bookmarkStart w:id="307" w:name="_Toc140069101"/>
      <w:bookmarkStart w:id="308" w:name="_Toc140069160"/>
      <w:bookmarkStart w:id="309" w:name="_Toc140069203"/>
      <w:bookmarkStart w:id="310" w:name="_Toc152766335"/>
      <w:r w:rsidRPr="00683937">
        <w:rPr>
          <w:lang w:val="fr-CA"/>
        </w:rPr>
        <w:t>Programme de surveillance et d’essais</w:t>
      </w:r>
      <w:bookmarkEnd w:id="306"/>
      <w:bookmarkEnd w:id="307"/>
      <w:bookmarkEnd w:id="308"/>
      <w:bookmarkEnd w:id="309"/>
      <w:bookmarkEnd w:id="310"/>
    </w:p>
    <w:p w14:paraId="5E81A740" w14:textId="77777777" w:rsidR="00E96362" w:rsidRPr="00683937" w:rsidRDefault="00E96362" w:rsidP="00E96362">
      <w:pPr>
        <w:pStyle w:val="HeadingRequirementsorGuidanceLabel"/>
        <w:rPr>
          <w:lang w:val="fr-CA"/>
        </w:rPr>
      </w:pPr>
      <w:bookmarkStart w:id="311" w:name="_Toc140069102"/>
      <w:r w:rsidRPr="00683937">
        <w:rPr>
          <w:lang w:val="fr-CA"/>
        </w:rPr>
        <w:t>Exigences</w:t>
      </w:r>
      <w:bookmarkEnd w:id="311"/>
    </w:p>
    <w:p w14:paraId="2EFA2E39" w14:textId="77777777" w:rsidR="00E96362" w:rsidRPr="00683937" w:rsidRDefault="00E96362" w:rsidP="00E96362">
      <w:pPr>
        <w:pStyle w:val="BodyText"/>
        <w:rPr>
          <w:lang w:val="fr-CA"/>
        </w:rPr>
      </w:pPr>
      <w:r w:rsidRPr="00683937">
        <w:rPr>
          <w:lang w:val="fr-CA"/>
        </w:rPr>
        <w:t>Le titulaire de permis doit établir et mettre en œuvre un programme de surveillance et d’essais pour assurer la conformité aux LCE. Le titulaire de permis doit veiller à ce que les résultats soient évalués, enregistrés et conservés.</w:t>
      </w:r>
    </w:p>
    <w:p w14:paraId="4ECC10BB" w14:textId="77777777" w:rsidR="00E96362" w:rsidRPr="00683937" w:rsidRDefault="00E96362" w:rsidP="00E96362">
      <w:pPr>
        <w:pStyle w:val="HeadingRequirementsorGuidanceLabel"/>
        <w:rPr>
          <w:lang w:val="fr-CA"/>
        </w:rPr>
      </w:pPr>
      <w:bookmarkStart w:id="312" w:name="_Toc140069103"/>
      <w:r w:rsidRPr="00683937">
        <w:rPr>
          <w:lang w:val="fr-CA"/>
        </w:rPr>
        <w:t>Orientation</w:t>
      </w:r>
      <w:bookmarkEnd w:id="312"/>
    </w:p>
    <w:p w14:paraId="05AAAF7A" w14:textId="69E5F070" w:rsidR="00E96362" w:rsidRPr="00683937" w:rsidRDefault="00E96362" w:rsidP="00E96362">
      <w:pPr>
        <w:pStyle w:val="BodyText"/>
        <w:keepNext/>
        <w:spacing w:after="0"/>
        <w:rPr>
          <w:lang w:val="fr-CA"/>
        </w:rPr>
      </w:pPr>
      <w:r w:rsidRPr="00683937">
        <w:rPr>
          <w:lang w:val="fr-CA"/>
        </w:rPr>
        <w:t>Pour obtenir une orientation sur le contenu d’un programme de surveillance, veuillez consulter</w:t>
      </w:r>
      <w:r w:rsidR="00B15663">
        <w:rPr>
          <w:lang w:val="fr-CA"/>
        </w:rPr>
        <w:t> </w:t>
      </w:r>
      <w:r w:rsidRPr="00683937">
        <w:rPr>
          <w:lang w:val="fr-CA"/>
        </w:rPr>
        <w:t>:</w:t>
      </w:r>
    </w:p>
    <w:p w14:paraId="001A9120" w14:textId="77777777" w:rsidR="00E96362" w:rsidRPr="00683937" w:rsidRDefault="00E96362" w:rsidP="00E96362">
      <w:pPr>
        <w:pStyle w:val="BulletList"/>
        <w:keepNext/>
        <w:numPr>
          <w:ilvl w:val="0"/>
          <w:numId w:val="8"/>
        </w:numPr>
        <w:ind w:left="1077" w:hanging="357"/>
        <w:rPr>
          <w:lang w:val="fr-CA"/>
        </w:rPr>
      </w:pPr>
      <w:r w:rsidRPr="00683937">
        <w:rPr>
          <w:lang w:val="fr-CA"/>
        </w:rPr>
        <w:t xml:space="preserve">la section 3.3, </w:t>
      </w:r>
      <w:r w:rsidRPr="00683937">
        <w:rPr>
          <w:i/>
          <w:iCs/>
          <w:lang w:val="fr-CA"/>
        </w:rPr>
        <w:t>Essais et surveillance</w:t>
      </w:r>
    </w:p>
    <w:p w14:paraId="163E15C6" w14:textId="72B4F2E1" w:rsidR="00E96362" w:rsidRPr="00683937" w:rsidRDefault="00E96362" w:rsidP="00E96362">
      <w:pPr>
        <w:pStyle w:val="BulletListLastItem"/>
        <w:numPr>
          <w:ilvl w:val="0"/>
          <w:numId w:val="8"/>
        </w:numPr>
        <w:ind w:left="1080"/>
        <w:rPr>
          <w:lang w:val="fr-CA"/>
        </w:rPr>
      </w:pPr>
      <w:r w:rsidRPr="00683937">
        <w:rPr>
          <w:lang w:val="fr-CA"/>
        </w:rPr>
        <w:t xml:space="preserve">la norme CSA N290.15, </w:t>
      </w:r>
      <w:r w:rsidRPr="00683937">
        <w:rPr>
          <w:i/>
          <w:iCs/>
          <w:lang w:val="fr-CA"/>
        </w:rPr>
        <w:t>Exigences relatives à l’enveloppe d’exploitation sûre des centrales nucléaires</w:t>
      </w:r>
      <w:r w:rsidRPr="00683937">
        <w:rPr>
          <w:lang w:val="fr-CA"/>
        </w:rPr>
        <w:t> [</w:t>
      </w:r>
      <w:r w:rsidR="007C177A">
        <w:rPr>
          <w:lang w:val="fr-CA"/>
        </w:rPr>
        <w:t>2</w:t>
      </w:r>
      <w:r w:rsidR="006A400F">
        <w:rPr>
          <w:lang w:val="fr-CA"/>
        </w:rPr>
        <w:t>5</w:t>
      </w:r>
      <w:r w:rsidRPr="00683937">
        <w:rPr>
          <w:lang w:val="fr-CA"/>
        </w:rPr>
        <w:t>]</w:t>
      </w:r>
    </w:p>
    <w:p w14:paraId="66D619A8" w14:textId="77777777" w:rsidR="00E96362" w:rsidRPr="00683937" w:rsidRDefault="00E96362" w:rsidP="00E96362">
      <w:pPr>
        <w:pStyle w:val="Heading3"/>
        <w:rPr>
          <w:lang w:val="fr-CA"/>
        </w:rPr>
      </w:pPr>
      <w:bookmarkStart w:id="313" w:name="_Toc126324307"/>
      <w:bookmarkStart w:id="314" w:name="_Toc140069104"/>
      <w:bookmarkStart w:id="315" w:name="_Toc140069161"/>
      <w:bookmarkStart w:id="316" w:name="_Toc140069204"/>
      <w:bookmarkStart w:id="317" w:name="_Toc152766336"/>
      <w:r w:rsidRPr="00683937">
        <w:rPr>
          <w:lang w:val="fr-CA"/>
        </w:rPr>
        <w:t>Exploitation à l’intérieur des paramètres d’exploitation sûre</w:t>
      </w:r>
      <w:bookmarkEnd w:id="313"/>
      <w:bookmarkEnd w:id="314"/>
      <w:bookmarkEnd w:id="315"/>
      <w:bookmarkEnd w:id="316"/>
      <w:bookmarkEnd w:id="317"/>
    </w:p>
    <w:p w14:paraId="3EA32A3D" w14:textId="77777777" w:rsidR="00E96362" w:rsidRPr="00683937" w:rsidRDefault="00E96362" w:rsidP="00E96362">
      <w:pPr>
        <w:pStyle w:val="HeadingRequirementsorGuidanceLabel"/>
        <w:rPr>
          <w:lang w:val="fr-CA"/>
        </w:rPr>
      </w:pPr>
      <w:bookmarkStart w:id="318" w:name="_Toc140069105"/>
      <w:r w:rsidRPr="00683937">
        <w:rPr>
          <w:lang w:val="fr-CA"/>
        </w:rPr>
        <w:t>Exigences</w:t>
      </w:r>
      <w:bookmarkEnd w:id="318"/>
    </w:p>
    <w:p w14:paraId="14983AE8" w14:textId="77777777" w:rsidR="00E96362" w:rsidRPr="00683937" w:rsidRDefault="00E96362" w:rsidP="00E96362">
      <w:pPr>
        <w:pStyle w:val="BodyText"/>
        <w:rPr>
          <w:lang w:val="fr-CA"/>
        </w:rPr>
      </w:pPr>
      <w:r w:rsidRPr="00683937">
        <w:rPr>
          <w:lang w:val="fr-CA"/>
        </w:rPr>
        <w:t>Le titulaire de permis ne doit pas intentionnellement dépasser les LCE.</w:t>
      </w:r>
    </w:p>
    <w:p w14:paraId="2F189A78" w14:textId="77777777" w:rsidR="00E96362" w:rsidRPr="00683937" w:rsidRDefault="00E96362" w:rsidP="00E96362">
      <w:pPr>
        <w:pStyle w:val="BodyText"/>
        <w:rPr>
          <w:lang w:val="fr-CA"/>
        </w:rPr>
      </w:pPr>
      <w:r w:rsidRPr="00683937">
        <w:rPr>
          <w:lang w:val="fr-CA"/>
        </w:rPr>
        <w:t xml:space="preserve">S’il y a dépassement des LCE, le titulaire de permis doit immédiatement prendre des mesures pour ramener l’installation dans les limites des analyses de la sûreté de manière sécuritaire. </w:t>
      </w:r>
    </w:p>
    <w:p w14:paraId="5DEAAC4F" w14:textId="77777777" w:rsidR="00E96362" w:rsidRPr="00683937" w:rsidRDefault="00E96362" w:rsidP="00E96362">
      <w:pPr>
        <w:pStyle w:val="BodyText"/>
        <w:rPr>
          <w:lang w:val="fr-CA"/>
        </w:rPr>
      </w:pPr>
      <w:r w:rsidRPr="00683937">
        <w:rPr>
          <w:lang w:val="fr-CA"/>
        </w:rPr>
        <w:t>Le titulaire de permis doit avoir en place des procédures qui traitent du retour de l’installation dans les limites des PES lorsqu’il est constaté que l’exploitation ne respecte plus les limites applicables (telles qu’elles sont définies dans les PES) et qui indiquent les mesures à prendre et les délais d’intervention applicables. Le titulaire de permis doit s’assurer que ces procédures incorporent l’importance pour la sûreté et la portée de l’incidence de la situation de non</w:t>
      </w:r>
      <w:r w:rsidRPr="00683937">
        <w:rPr>
          <w:lang w:val="fr-CA"/>
        </w:rPr>
        <w:noBreakHyphen/>
        <w:t>conformité.</w:t>
      </w:r>
    </w:p>
    <w:p w14:paraId="0EE12DD1" w14:textId="77777777" w:rsidR="00E96362" w:rsidRPr="00683937" w:rsidRDefault="00E96362" w:rsidP="00E96362">
      <w:pPr>
        <w:pStyle w:val="HeadingRequirementsorGuidanceLabel"/>
        <w:rPr>
          <w:lang w:val="fr-CA"/>
        </w:rPr>
      </w:pPr>
      <w:bookmarkStart w:id="319" w:name="_Toc140069106"/>
      <w:r w:rsidRPr="00683937">
        <w:rPr>
          <w:lang w:val="fr-CA"/>
        </w:rPr>
        <w:t>Orientation</w:t>
      </w:r>
      <w:bookmarkEnd w:id="319"/>
    </w:p>
    <w:p w14:paraId="6FA7599B" w14:textId="2DF10B0A" w:rsidR="00E96362" w:rsidRPr="00683937" w:rsidRDefault="00E96362" w:rsidP="00E96362">
      <w:pPr>
        <w:pStyle w:val="BodyText"/>
        <w:rPr>
          <w:lang w:val="fr-CA"/>
        </w:rPr>
      </w:pPr>
      <w:r w:rsidRPr="00683937">
        <w:rPr>
          <w:lang w:val="fr-CA"/>
        </w:rPr>
        <w:t>Pour tout cas de non-conformité aux PES, le titulaire de permis devrait consulter le REGDOC</w:t>
      </w:r>
      <w:r w:rsidRPr="00683937">
        <w:rPr>
          <w:lang w:val="fr-CA"/>
        </w:rPr>
        <w:noBreakHyphen/>
        <w:t xml:space="preserve">3.1.1, </w:t>
      </w:r>
      <w:r w:rsidRPr="00683937">
        <w:rPr>
          <w:i/>
          <w:iCs/>
          <w:lang w:val="fr-CA"/>
        </w:rPr>
        <w:t>Rapports à soumettre par les exploitants de centrales nucléaires</w:t>
      </w:r>
      <w:r w:rsidRPr="00683937">
        <w:rPr>
          <w:lang w:val="fr-CA"/>
        </w:rPr>
        <w:t> [2</w:t>
      </w:r>
      <w:r w:rsidR="006A400F">
        <w:rPr>
          <w:lang w:val="fr-CA"/>
        </w:rPr>
        <w:t>8</w:t>
      </w:r>
      <w:r w:rsidRPr="00683937">
        <w:rPr>
          <w:lang w:val="fr-CA"/>
        </w:rPr>
        <w:t>], afin de déterminer si le cas doit être signalé à la CCSN.</w:t>
      </w:r>
    </w:p>
    <w:p w14:paraId="02256F5F" w14:textId="77777777" w:rsidR="00E96362" w:rsidRPr="00683937" w:rsidRDefault="00E96362" w:rsidP="00E96362">
      <w:pPr>
        <w:pStyle w:val="Heading3"/>
        <w:rPr>
          <w:lang w:val="fr-CA"/>
        </w:rPr>
      </w:pPr>
      <w:bookmarkStart w:id="320" w:name="_Toc126324308"/>
      <w:bookmarkStart w:id="321" w:name="_Toc140069107"/>
      <w:bookmarkStart w:id="322" w:name="_Toc140069162"/>
      <w:bookmarkStart w:id="323" w:name="_Toc140069205"/>
      <w:bookmarkStart w:id="324" w:name="_Toc152766337"/>
      <w:r w:rsidRPr="00683937">
        <w:rPr>
          <w:lang w:val="fr-CA"/>
        </w:rPr>
        <w:t>Modifications aux paramètres d’exploitation sûre</w:t>
      </w:r>
      <w:bookmarkEnd w:id="320"/>
      <w:bookmarkEnd w:id="321"/>
      <w:bookmarkEnd w:id="322"/>
      <w:bookmarkEnd w:id="323"/>
      <w:bookmarkEnd w:id="324"/>
    </w:p>
    <w:p w14:paraId="712E3DE4" w14:textId="77777777" w:rsidR="00E96362" w:rsidRPr="00683937" w:rsidRDefault="00E96362" w:rsidP="00E96362">
      <w:pPr>
        <w:pStyle w:val="HeadingRequirementsorGuidanceLabel"/>
        <w:rPr>
          <w:lang w:val="fr-CA"/>
        </w:rPr>
      </w:pPr>
      <w:bookmarkStart w:id="325" w:name="_Toc140069108"/>
      <w:r w:rsidRPr="00683937">
        <w:rPr>
          <w:lang w:val="fr-CA"/>
        </w:rPr>
        <w:t>Exigences</w:t>
      </w:r>
      <w:bookmarkEnd w:id="325"/>
    </w:p>
    <w:p w14:paraId="726B8421" w14:textId="77777777" w:rsidR="00166768" w:rsidRPr="00DC6D00" w:rsidRDefault="00E96362" w:rsidP="00166768">
      <w:pPr>
        <w:pStyle w:val="BodyText"/>
        <w:rPr>
          <w:lang w:val="fr-CA"/>
        </w:rPr>
      </w:pPr>
      <w:r w:rsidRPr="00683937">
        <w:rPr>
          <w:lang w:val="fr-CA"/>
        </w:rPr>
        <w:t xml:space="preserve">Le titulaire de permis doit établir un processus de signalement des modifications aux LCE, ce qui devra comprendre l’acceptation </w:t>
      </w:r>
      <w:r>
        <w:rPr>
          <w:lang w:val="fr-CA"/>
        </w:rPr>
        <w:t xml:space="preserve">de ces modifications </w:t>
      </w:r>
      <w:r w:rsidRPr="00683937">
        <w:rPr>
          <w:lang w:val="fr-CA"/>
        </w:rPr>
        <w:t>par l’organisme de réglementation le cas échéant, avant d’entamer l’exploitation selon les LCE modifiées.</w:t>
      </w:r>
    </w:p>
    <w:p w14:paraId="21B8CE11" w14:textId="69C5F928" w:rsidR="00166768" w:rsidRPr="00C97FE8" w:rsidRDefault="00C97FE8" w:rsidP="00166768">
      <w:pPr>
        <w:pStyle w:val="BodyText"/>
        <w:rPr>
          <w:lang w:val="fr-CA"/>
        </w:rPr>
      </w:pPr>
      <w:r w:rsidRPr="00F15E19">
        <w:rPr>
          <w:lang w:val="fr-CA"/>
        </w:rPr>
        <w:t>En ce qui concerne des modifications neutres et prudentes, le titulaire de permis doit soumettre une notification écrite à la CCSN au moment de la mise en œuvre des LCE révisées.</w:t>
      </w:r>
    </w:p>
    <w:p w14:paraId="49C62131" w14:textId="18E90E21" w:rsidR="00166768" w:rsidRPr="00C97FE8" w:rsidRDefault="00C97FE8" w:rsidP="00166768">
      <w:pPr>
        <w:pStyle w:val="BodyText"/>
        <w:rPr>
          <w:lang w:val="fr-CA"/>
        </w:rPr>
      </w:pPr>
      <w:r w:rsidRPr="00F15E19">
        <w:rPr>
          <w:lang w:val="fr-CA"/>
        </w:rPr>
        <w:t>Pour ce qui est des modifications qui ne sont pas prudentes ou qui ne vont pas clairement dans le sens de la sûreté, le titulaire de permis doit soumettre une notification écrite à la CCSN avant d</w:t>
      </w:r>
      <w:r>
        <w:rPr>
          <w:lang w:val="fr-CA"/>
        </w:rPr>
        <w:t xml:space="preserve">’entamer l’exploitation </w:t>
      </w:r>
      <w:r w:rsidRPr="00F15E19">
        <w:rPr>
          <w:lang w:val="fr-CA"/>
        </w:rPr>
        <w:t>selon les LCE modifiées.</w:t>
      </w:r>
    </w:p>
    <w:p w14:paraId="16093E62" w14:textId="3610609A" w:rsidR="00E96362" w:rsidRPr="00C97FE8" w:rsidRDefault="00C97FE8" w:rsidP="00166768">
      <w:pPr>
        <w:pStyle w:val="BodyText"/>
        <w:rPr>
          <w:lang w:val="fr-CA"/>
        </w:rPr>
      </w:pPr>
      <w:r w:rsidRPr="00F15E19">
        <w:rPr>
          <w:lang w:val="fr-CA"/>
        </w:rPr>
        <w:t>Pour toutes les modifications du fondement d</w:t>
      </w:r>
      <w:r>
        <w:rPr>
          <w:lang w:val="fr-CA"/>
        </w:rPr>
        <w:t>’</w:t>
      </w:r>
      <w:r w:rsidRPr="00F15E19">
        <w:rPr>
          <w:lang w:val="fr-CA"/>
        </w:rPr>
        <w:t>autorisation qui ne vont pas clairement dans le sens de la sûreté, le titulaire de permis doit fournir à la CCSN des évaluations supplémentaires des effets afin de déterminer si l</w:t>
      </w:r>
      <w:r>
        <w:rPr>
          <w:lang w:val="fr-CA"/>
        </w:rPr>
        <w:t>’</w:t>
      </w:r>
      <w:r w:rsidRPr="00F15E19">
        <w:rPr>
          <w:lang w:val="fr-CA"/>
        </w:rPr>
        <w:t>approbation de la Commission est requise avant d</w:t>
      </w:r>
      <w:r>
        <w:rPr>
          <w:lang w:val="fr-CA"/>
        </w:rPr>
        <w:t>’entamer l’</w:t>
      </w:r>
      <w:r w:rsidRPr="00F15E19">
        <w:rPr>
          <w:lang w:val="fr-CA"/>
        </w:rPr>
        <w:t>exploit</w:t>
      </w:r>
      <w:r>
        <w:rPr>
          <w:lang w:val="fr-CA"/>
        </w:rPr>
        <w:t>ation</w:t>
      </w:r>
      <w:r w:rsidRPr="00F15E19">
        <w:rPr>
          <w:lang w:val="fr-CA"/>
        </w:rPr>
        <w:t xml:space="preserve"> selon les LCE modifiées.</w:t>
      </w:r>
    </w:p>
    <w:p w14:paraId="7BAAE507" w14:textId="77777777" w:rsidR="00E96362" w:rsidRPr="00683937" w:rsidRDefault="00E96362" w:rsidP="00E96362">
      <w:pPr>
        <w:pStyle w:val="BodyText"/>
        <w:rPr>
          <w:lang w:val="fr-CA"/>
        </w:rPr>
      </w:pPr>
      <w:r w:rsidRPr="00683937">
        <w:rPr>
          <w:lang w:val="fr-CA"/>
        </w:rPr>
        <w:t xml:space="preserve">Le titulaire de permis doit s’assurer que les PES sont assujettis à </w:t>
      </w:r>
      <w:r>
        <w:rPr>
          <w:lang w:val="fr-CA"/>
        </w:rPr>
        <w:t>un</w:t>
      </w:r>
      <w:r w:rsidRPr="00683937">
        <w:rPr>
          <w:lang w:val="fr-CA"/>
        </w:rPr>
        <w:t xml:space="preserve"> processus d</w:t>
      </w:r>
      <w:r>
        <w:rPr>
          <w:lang w:val="fr-CA"/>
        </w:rPr>
        <w:t>e tenue à jour en fonction d</w:t>
      </w:r>
      <w:r w:rsidRPr="00683937">
        <w:rPr>
          <w:lang w:val="fr-CA"/>
        </w:rPr>
        <w:t>es modifications apportées à la conception de l’installation dotée de réacteurs, aux procédures d’exploitation, à l’analyse déterministe de la sûreté et aux exigences réglementaires applicables.</w:t>
      </w:r>
    </w:p>
    <w:p w14:paraId="66213CEB" w14:textId="77777777" w:rsidR="00E96362" w:rsidRPr="00683937" w:rsidRDefault="00E96362" w:rsidP="00E96362">
      <w:pPr>
        <w:pStyle w:val="HeadingRequirementsorGuidanceLabel"/>
        <w:rPr>
          <w:lang w:val="fr-CA"/>
        </w:rPr>
      </w:pPr>
      <w:bookmarkStart w:id="326" w:name="_Toc140069109"/>
      <w:r w:rsidRPr="00683937">
        <w:rPr>
          <w:lang w:val="fr-CA"/>
        </w:rPr>
        <w:t>Orientation</w:t>
      </w:r>
      <w:bookmarkEnd w:id="326"/>
    </w:p>
    <w:p w14:paraId="242AFB7C" w14:textId="77777777" w:rsidR="00E96362" w:rsidRPr="00683937" w:rsidRDefault="00E96362" w:rsidP="00E96362">
      <w:pPr>
        <w:pStyle w:val="BodyText"/>
        <w:rPr>
          <w:lang w:val="fr-CA"/>
        </w:rPr>
      </w:pPr>
      <w:r w:rsidRPr="00683937">
        <w:rPr>
          <w:lang w:val="fr-CA"/>
        </w:rPr>
        <w:t>Le titulaire de permis devrait également tenir compte de la rétroaction sur les événements opérationnels lorsqu’il s’agit d’apporter des modifications aux PES.</w:t>
      </w:r>
    </w:p>
    <w:p w14:paraId="1FFE7E0B" w14:textId="42C38B78" w:rsidR="00E96362" w:rsidRPr="00683937" w:rsidRDefault="00E96362" w:rsidP="00E96362">
      <w:pPr>
        <w:pStyle w:val="BodyText"/>
        <w:rPr>
          <w:lang w:val="fr-CA"/>
        </w:rPr>
      </w:pPr>
      <w:r w:rsidRPr="00683937">
        <w:rPr>
          <w:lang w:val="fr-CA"/>
        </w:rPr>
        <w:t xml:space="preserve">Le titulaire de permis devrait s’assurer que les modifications aux PES sont appliquées en temps utile. Pour obtenir de l’information sur les exigences générales et </w:t>
      </w:r>
      <w:r>
        <w:rPr>
          <w:lang w:val="fr-CA"/>
        </w:rPr>
        <w:t>de l’</w:t>
      </w:r>
      <w:r w:rsidRPr="00683937">
        <w:rPr>
          <w:lang w:val="fr-CA"/>
        </w:rPr>
        <w:t xml:space="preserve">orientation sur la modification des PES, veuillez consulter la norme CSA N290.15, </w:t>
      </w:r>
      <w:r w:rsidRPr="00683937">
        <w:rPr>
          <w:i/>
          <w:iCs/>
          <w:lang w:val="fr-CA"/>
        </w:rPr>
        <w:t>Exigences relatives à l’enveloppe d’exploitation sûre des centrales nucléaires</w:t>
      </w:r>
      <w:r w:rsidRPr="00683937">
        <w:rPr>
          <w:lang w:val="fr-CA"/>
        </w:rPr>
        <w:t> [</w:t>
      </w:r>
      <w:r w:rsidR="007C177A">
        <w:rPr>
          <w:lang w:val="fr-CA"/>
        </w:rPr>
        <w:t>2</w:t>
      </w:r>
      <w:r w:rsidR="006A400F">
        <w:rPr>
          <w:lang w:val="fr-CA"/>
        </w:rPr>
        <w:t>5</w:t>
      </w:r>
      <w:r w:rsidRPr="00683937">
        <w:rPr>
          <w:lang w:val="fr-CA"/>
        </w:rPr>
        <w:t>].</w:t>
      </w:r>
    </w:p>
    <w:p w14:paraId="0136361B" w14:textId="77777777" w:rsidR="00E96362" w:rsidRPr="003A158C" w:rsidRDefault="00E96362" w:rsidP="00E96362">
      <w:pPr>
        <w:pStyle w:val="Heading2"/>
        <w:rPr>
          <w:lang w:val="fr-CA"/>
        </w:rPr>
      </w:pPr>
      <w:bookmarkStart w:id="327" w:name="_Toc126324309"/>
      <w:bookmarkStart w:id="328" w:name="_Toc140069110"/>
      <w:bookmarkStart w:id="329" w:name="_Toc140069163"/>
      <w:bookmarkStart w:id="330" w:name="_Toc140069206"/>
      <w:bookmarkStart w:id="331" w:name="_Toc152766338"/>
      <w:r w:rsidRPr="003A158C">
        <w:rPr>
          <w:lang w:val="fr-CA"/>
        </w:rPr>
        <w:t>Intervention en cas de condition irrégulière</w:t>
      </w:r>
      <w:bookmarkEnd w:id="327"/>
      <w:bookmarkEnd w:id="328"/>
      <w:bookmarkEnd w:id="329"/>
      <w:bookmarkEnd w:id="330"/>
      <w:bookmarkEnd w:id="331"/>
    </w:p>
    <w:p w14:paraId="17C64F93" w14:textId="77777777" w:rsidR="00E96362" w:rsidRPr="00683937" w:rsidRDefault="00E96362" w:rsidP="00E96362">
      <w:pPr>
        <w:pStyle w:val="BodyText"/>
        <w:rPr>
          <w:lang w:val="fr-CA"/>
        </w:rPr>
      </w:pPr>
      <w:r w:rsidRPr="00683937">
        <w:rPr>
          <w:lang w:val="fr-CA"/>
        </w:rPr>
        <w:t>Sont rangés sous la rubrique des conditions irrégulières les incidents de fonctionnement prévus (IFP), les accidents de dimensionnement (AD), les conditions additionnelles de dimensionnement (CAD) et les autres perturbations susceptibles d’influer sur l’exploitation de l’installation.</w:t>
      </w:r>
    </w:p>
    <w:p w14:paraId="2DE782DC" w14:textId="580E18A3" w:rsidR="00E96362" w:rsidRPr="00683937" w:rsidRDefault="00E96362" w:rsidP="00E96362">
      <w:pPr>
        <w:pStyle w:val="BodyText"/>
        <w:keepNext/>
        <w:spacing w:after="0"/>
        <w:rPr>
          <w:lang w:val="fr-CA"/>
        </w:rPr>
      </w:pPr>
      <w:r w:rsidRPr="00683937">
        <w:rPr>
          <w:lang w:val="fr-CA"/>
        </w:rPr>
        <w:t xml:space="preserve">Les interventions en cas de condition irrégulière </w:t>
      </w:r>
      <w:r>
        <w:rPr>
          <w:lang w:val="fr-CA"/>
        </w:rPr>
        <w:t xml:space="preserve">font référence aux </w:t>
      </w:r>
      <w:r w:rsidRPr="00683937">
        <w:rPr>
          <w:lang w:val="fr-CA"/>
        </w:rPr>
        <w:t>mesures prises aux fins suivantes</w:t>
      </w:r>
      <w:r w:rsidR="00B15663">
        <w:rPr>
          <w:lang w:val="fr-CA"/>
        </w:rPr>
        <w:t> </w:t>
      </w:r>
      <w:r w:rsidRPr="00683937">
        <w:rPr>
          <w:lang w:val="fr-CA"/>
        </w:rPr>
        <w:t>:</w:t>
      </w:r>
    </w:p>
    <w:p w14:paraId="259409B4" w14:textId="77777777" w:rsidR="00E96362" w:rsidRPr="00683937" w:rsidRDefault="00E96362" w:rsidP="00E96362">
      <w:pPr>
        <w:pStyle w:val="BulletList"/>
        <w:keepNext/>
        <w:numPr>
          <w:ilvl w:val="0"/>
          <w:numId w:val="8"/>
        </w:numPr>
        <w:ind w:left="1077" w:hanging="357"/>
        <w:rPr>
          <w:lang w:val="fr-CA"/>
        </w:rPr>
      </w:pPr>
      <w:r>
        <w:rPr>
          <w:lang w:val="fr-CA"/>
        </w:rPr>
        <w:t>p</w:t>
      </w:r>
      <w:r w:rsidRPr="00683937">
        <w:rPr>
          <w:lang w:val="fr-CA"/>
        </w:rPr>
        <w:t>révenir ou limiter les dommages</w:t>
      </w:r>
    </w:p>
    <w:p w14:paraId="3B44FD12" w14:textId="77777777" w:rsidR="00E96362" w:rsidRPr="00683937" w:rsidRDefault="00E96362" w:rsidP="00E96362">
      <w:pPr>
        <w:pStyle w:val="BulletList"/>
        <w:numPr>
          <w:ilvl w:val="0"/>
          <w:numId w:val="8"/>
        </w:numPr>
        <w:ind w:left="1080"/>
        <w:rPr>
          <w:lang w:val="fr-CA"/>
        </w:rPr>
      </w:pPr>
      <w:r>
        <w:rPr>
          <w:lang w:val="fr-CA"/>
        </w:rPr>
        <w:t>p</w:t>
      </w:r>
      <w:r w:rsidRPr="00683937">
        <w:rPr>
          <w:lang w:val="fr-CA"/>
        </w:rPr>
        <w:t>révenir ou atténuer les conséquences</w:t>
      </w:r>
    </w:p>
    <w:p w14:paraId="60AD5FFC" w14:textId="77777777" w:rsidR="00E96362" w:rsidRPr="00683937" w:rsidRDefault="00E96362" w:rsidP="00E96362">
      <w:pPr>
        <w:pStyle w:val="BulletList"/>
        <w:numPr>
          <w:ilvl w:val="0"/>
          <w:numId w:val="8"/>
        </w:numPr>
        <w:ind w:left="1080"/>
        <w:rPr>
          <w:lang w:val="fr-CA"/>
        </w:rPr>
      </w:pPr>
      <w:r>
        <w:rPr>
          <w:lang w:val="fr-CA"/>
        </w:rPr>
        <w:t>m</w:t>
      </w:r>
      <w:r w:rsidRPr="00683937">
        <w:rPr>
          <w:lang w:val="fr-CA"/>
        </w:rPr>
        <w:t>ettre l’installation dans un état sûr et stable</w:t>
      </w:r>
    </w:p>
    <w:p w14:paraId="764830CB" w14:textId="0C9458D0" w:rsidR="00E96362" w:rsidRDefault="00E96362" w:rsidP="00E72DE0">
      <w:pPr>
        <w:pStyle w:val="BulletList"/>
        <w:numPr>
          <w:ilvl w:val="0"/>
          <w:numId w:val="8"/>
        </w:numPr>
        <w:ind w:left="1077" w:hanging="357"/>
        <w:rPr>
          <w:lang w:val="fr-CA"/>
        </w:rPr>
      </w:pPr>
      <w:r>
        <w:rPr>
          <w:lang w:val="fr-CA"/>
        </w:rPr>
        <w:t>l</w:t>
      </w:r>
      <w:r w:rsidRPr="00683937">
        <w:rPr>
          <w:lang w:val="fr-CA"/>
        </w:rPr>
        <w:t>es activités préparatoires nécessaires à la mise en œuvre des mesures de cette natur</w:t>
      </w:r>
      <w:r>
        <w:rPr>
          <w:lang w:val="fr-CA"/>
        </w:rPr>
        <w:t>e</w:t>
      </w:r>
    </w:p>
    <w:p w14:paraId="321FEE58" w14:textId="55335B7B" w:rsidR="00E72DE0" w:rsidRPr="00683937" w:rsidRDefault="00E72DE0" w:rsidP="00E96362">
      <w:pPr>
        <w:pStyle w:val="BulletList"/>
        <w:keepNext/>
        <w:numPr>
          <w:ilvl w:val="0"/>
          <w:numId w:val="8"/>
        </w:numPr>
        <w:ind w:left="1077" w:hanging="357"/>
        <w:rPr>
          <w:lang w:val="fr-CA"/>
        </w:rPr>
      </w:pPr>
      <w:r>
        <w:rPr>
          <w:lang w:val="fr-CA"/>
        </w:rPr>
        <w:t>l</w:t>
      </w:r>
      <w:r w:rsidRPr="00683937">
        <w:rPr>
          <w:lang w:val="fr-CA"/>
        </w:rPr>
        <w:t>es mesures servant à établir si l’installation peut retourner en mode d’exploitation à la suite d’une condition irrégulière</w:t>
      </w:r>
    </w:p>
    <w:p w14:paraId="4A84CB50" w14:textId="37CE2C8E" w:rsidR="00E96362" w:rsidRPr="001F4E3B" w:rsidRDefault="001F4E3B" w:rsidP="00E96362">
      <w:pPr>
        <w:pStyle w:val="BulletListLastItem"/>
        <w:numPr>
          <w:ilvl w:val="0"/>
          <w:numId w:val="8"/>
        </w:numPr>
        <w:ind w:left="1080"/>
        <w:rPr>
          <w:lang w:val="fr-CA"/>
        </w:rPr>
      </w:pPr>
      <w:r w:rsidRPr="001F4E3B">
        <w:rPr>
          <w:lang w:val="fr-CA"/>
        </w:rPr>
        <w:t xml:space="preserve">les mesures servant à établir si l’événement </w:t>
      </w:r>
      <w:r w:rsidR="008E231E">
        <w:rPr>
          <w:lang w:val="fr-CA"/>
        </w:rPr>
        <w:t>était</w:t>
      </w:r>
      <w:r w:rsidRPr="001F4E3B">
        <w:rPr>
          <w:lang w:val="fr-CA"/>
        </w:rPr>
        <w:t xml:space="preserve"> une défaillance grave de système fonctionnel, et les étapes à suivre pour obtenir l’autorisation de redémarrer après une défaillance grave de système fonctionnel</w:t>
      </w:r>
    </w:p>
    <w:p w14:paraId="6378A7BC" w14:textId="77777777" w:rsidR="00E96362" w:rsidRPr="00683937" w:rsidRDefault="00E96362" w:rsidP="00E96362">
      <w:pPr>
        <w:pStyle w:val="HeadingRequirementsorGuidanceLabel"/>
        <w:rPr>
          <w:lang w:val="fr-CA"/>
        </w:rPr>
      </w:pPr>
      <w:bookmarkStart w:id="332" w:name="_Toc140069111"/>
      <w:r w:rsidRPr="00683937">
        <w:rPr>
          <w:lang w:val="fr-CA"/>
        </w:rPr>
        <w:t>Exigences</w:t>
      </w:r>
      <w:bookmarkEnd w:id="332"/>
    </w:p>
    <w:p w14:paraId="26C7B1D0" w14:textId="47C6380A" w:rsidR="00E96362" w:rsidRDefault="00E96362" w:rsidP="00E96362">
      <w:pPr>
        <w:pStyle w:val="BodyText"/>
        <w:rPr>
          <w:lang w:val="fr-CA"/>
        </w:rPr>
      </w:pPr>
      <w:r w:rsidRPr="00683937">
        <w:rPr>
          <w:lang w:val="fr-CA"/>
        </w:rPr>
        <w:t xml:space="preserve">Le titulaire de permis doit consigner et mettre en œuvre des dispositions pour s’assurer que les mesures qui s’imposent sont prises </w:t>
      </w:r>
      <w:r>
        <w:rPr>
          <w:lang w:val="fr-CA"/>
        </w:rPr>
        <w:t>afin de</w:t>
      </w:r>
      <w:r w:rsidRPr="00683937">
        <w:rPr>
          <w:lang w:val="fr-CA"/>
        </w:rPr>
        <w:t xml:space="preserve"> garantir une exploitation sûre en réponse à des situations qui donnent lieu, ou peuvent donner lieu, à des écarts par rapport aux limites et conditions d’exploitation normale.</w:t>
      </w:r>
    </w:p>
    <w:p w14:paraId="1A60C422" w14:textId="0FE2C131" w:rsidR="00E72DE0" w:rsidRPr="00E72DE0" w:rsidRDefault="001F4E3B" w:rsidP="00E96362">
      <w:pPr>
        <w:pStyle w:val="BodyText"/>
        <w:rPr>
          <w:lang w:val="fr-CA"/>
        </w:rPr>
      </w:pPr>
      <w:bookmarkStart w:id="333" w:name="_Hlk146530486"/>
      <w:r w:rsidRPr="001F4E3B">
        <w:rPr>
          <w:lang w:val="fr-CA"/>
        </w:rPr>
        <w:t xml:space="preserve">Si un événement est considéré comme une défaillance grave de système fonctionnel, le titulaire de permis doit demander </w:t>
      </w:r>
      <w:r w:rsidRPr="00077CA8">
        <w:rPr>
          <w:lang w:val="fr-CA"/>
        </w:rPr>
        <w:t xml:space="preserve">l’approbation </w:t>
      </w:r>
      <w:r w:rsidR="008B1F03" w:rsidRPr="00077CA8">
        <w:rPr>
          <w:lang w:val="fr-CA"/>
        </w:rPr>
        <w:t>d</w:t>
      </w:r>
      <w:r w:rsidR="00077CA8">
        <w:rPr>
          <w:lang w:val="fr-CA"/>
        </w:rPr>
        <w:t>u personnel</w:t>
      </w:r>
      <w:r w:rsidR="008B1F03" w:rsidRPr="00077CA8">
        <w:rPr>
          <w:lang w:val="fr-CA"/>
        </w:rPr>
        <w:t xml:space="preserve"> </w:t>
      </w:r>
      <w:r w:rsidRPr="00077CA8">
        <w:rPr>
          <w:lang w:val="fr-CA"/>
        </w:rPr>
        <w:t>de la CCSN</w:t>
      </w:r>
      <w:r w:rsidRPr="001F4E3B">
        <w:rPr>
          <w:lang w:val="fr-CA"/>
        </w:rPr>
        <w:t xml:space="preserve"> avant de redémarrer l’installation dotée du réacteur. Pour de plus amples renseignements, voir la section </w:t>
      </w:r>
      <w:r w:rsidR="00E72DE0" w:rsidRPr="001F4E3B">
        <w:rPr>
          <w:lang w:val="fr-CA"/>
        </w:rPr>
        <w:t xml:space="preserve">9.3, </w:t>
      </w:r>
      <w:r w:rsidR="00E72DE0" w:rsidRPr="001F4E3B">
        <w:rPr>
          <w:i/>
          <w:iCs/>
          <w:lang w:val="fr-CA"/>
        </w:rPr>
        <w:t>Retour à l’état d’exploitation sûre</w:t>
      </w:r>
      <w:r w:rsidR="00E72DE0" w:rsidRPr="001F4E3B">
        <w:rPr>
          <w:lang w:val="fr-CA"/>
        </w:rPr>
        <w:t>.</w:t>
      </w:r>
    </w:p>
    <w:p w14:paraId="55FD3C39" w14:textId="77777777" w:rsidR="00E96362" w:rsidRPr="00683937" w:rsidRDefault="00E96362" w:rsidP="00E96362">
      <w:pPr>
        <w:pStyle w:val="HeadingRequirementsorGuidanceLabel"/>
        <w:rPr>
          <w:lang w:val="fr-CA"/>
        </w:rPr>
      </w:pPr>
      <w:bookmarkStart w:id="334" w:name="_Toc140069112"/>
      <w:bookmarkEnd w:id="333"/>
      <w:r w:rsidRPr="00683937">
        <w:rPr>
          <w:lang w:val="fr-CA"/>
        </w:rPr>
        <w:t>Orientation</w:t>
      </w:r>
      <w:bookmarkEnd w:id="334"/>
    </w:p>
    <w:p w14:paraId="6EFC315E" w14:textId="755F3190" w:rsidR="00E96362" w:rsidRPr="00683937" w:rsidRDefault="00E96362" w:rsidP="00E96362">
      <w:pPr>
        <w:pStyle w:val="BodyText"/>
        <w:keepNext/>
        <w:spacing w:after="0"/>
        <w:rPr>
          <w:lang w:val="fr-CA"/>
        </w:rPr>
      </w:pPr>
      <w:r w:rsidRPr="00683937">
        <w:rPr>
          <w:lang w:val="fr-CA"/>
        </w:rPr>
        <w:t>Voici quelques exemples de situations qui donnent lieu, ou peuvent donner lieu, à des écarts par rapport aux limites et conditions d’exploitation normale</w:t>
      </w:r>
      <w:r w:rsidR="00B15663">
        <w:rPr>
          <w:lang w:val="fr-CA"/>
        </w:rPr>
        <w:t> </w:t>
      </w:r>
      <w:r w:rsidRPr="00683937">
        <w:rPr>
          <w:lang w:val="fr-CA"/>
        </w:rPr>
        <w:t>:</w:t>
      </w:r>
    </w:p>
    <w:p w14:paraId="5BFEDB1B" w14:textId="77777777" w:rsidR="00E96362" w:rsidRPr="00683937" w:rsidRDefault="00E96362" w:rsidP="00E96362">
      <w:pPr>
        <w:pStyle w:val="BulletList"/>
        <w:keepNext/>
        <w:numPr>
          <w:ilvl w:val="0"/>
          <w:numId w:val="8"/>
        </w:numPr>
        <w:ind w:left="1077" w:hanging="357"/>
        <w:rPr>
          <w:lang w:val="fr-CA"/>
        </w:rPr>
      </w:pPr>
      <w:r>
        <w:rPr>
          <w:lang w:val="fr-CA"/>
        </w:rPr>
        <w:t>a</w:t>
      </w:r>
      <w:r w:rsidRPr="00683937">
        <w:rPr>
          <w:lang w:val="fr-CA"/>
        </w:rPr>
        <w:t>ccidents de divers niveaux de gravité</w:t>
      </w:r>
    </w:p>
    <w:p w14:paraId="5B2893AB" w14:textId="77777777" w:rsidR="00E96362" w:rsidRPr="00683937" w:rsidRDefault="00E96362" w:rsidP="00E96362">
      <w:pPr>
        <w:pStyle w:val="BulletList"/>
        <w:numPr>
          <w:ilvl w:val="0"/>
          <w:numId w:val="8"/>
        </w:numPr>
        <w:ind w:left="1080"/>
        <w:rPr>
          <w:lang w:val="fr-CA"/>
        </w:rPr>
      </w:pPr>
      <w:r>
        <w:rPr>
          <w:lang w:val="fr-CA"/>
        </w:rPr>
        <w:t>c</w:t>
      </w:r>
      <w:r w:rsidRPr="00683937">
        <w:rPr>
          <w:lang w:val="fr-CA"/>
        </w:rPr>
        <w:t>onditions météorologiques ou environnementales extrêmes</w:t>
      </w:r>
    </w:p>
    <w:p w14:paraId="3EB5E070" w14:textId="77777777" w:rsidR="00E96362" w:rsidRPr="00683937" w:rsidRDefault="00E96362" w:rsidP="00E96362">
      <w:pPr>
        <w:pStyle w:val="BulletList"/>
        <w:numPr>
          <w:ilvl w:val="0"/>
          <w:numId w:val="8"/>
        </w:numPr>
        <w:ind w:left="1080"/>
        <w:rPr>
          <w:lang w:val="fr-CA"/>
        </w:rPr>
      </w:pPr>
      <w:r>
        <w:rPr>
          <w:lang w:val="fr-CA"/>
        </w:rPr>
        <w:t>p</w:t>
      </w:r>
      <w:r w:rsidRPr="00683937">
        <w:rPr>
          <w:lang w:val="fr-CA"/>
        </w:rPr>
        <w:t>erturbations sociales</w:t>
      </w:r>
    </w:p>
    <w:p w14:paraId="626FEFF1" w14:textId="77777777" w:rsidR="00E96362" w:rsidRPr="00683937" w:rsidRDefault="00E96362" w:rsidP="00E96362">
      <w:pPr>
        <w:pStyle w:val="BulletList"/>
        <w:keepNext/>
        <w:numPr>
          <w:ilvl w:val="0"/>
          <w:numId w:val="8"/>
        </w:numPr>
        <w:ind w:left="1077" w:hanging="357"/>
        <w:rPr>
          <w:lang w:val="fr-CA"/>
        </w:rPr>
      </w:pPr>
      <w:r>
        <w:rPr>
          <w:lang w:val="fr-CA"/>
        </w:rPr>
        <w:t>p</w:t>
      </w:r>
      <w:r w:rsidRPr="00683937">
        <w:rPr>
          <w:lang w:val="fr-CA"/>
        </w:rPr>
        <w:t>andémies</w:t>
      </w:r>
    </w:p>
    <w:p w14:paraId="7B54E6C9" w14:textId="77777777" w:rsidR="00E96362" w:rsidRPr="00683937" w:rsidRDefault="00E96362" w:rsidP="00E96362">
      <w:pPr>
        <w:pStyle w:val="BulletListLastItem"/>
        <w:numPr>
          <w:ilvl w:val="0"/>
          <w:numId w:val="8"/>
        </w:numPr>
        <w:ind w:left="1080"/>
        <w:rPr>
          <w:lang w:val="fr-CA"/>
        </w:rPr>
      </w:pPr>
      <w:r>
        <w:rPr>
          <w:lang w:val="fr-CA"/>
        </w:rPr>
        <w:t>p</w:t>
      </w:r>
      <w:r w:rsidRPr="00683937">
        <w:rPr>
          <w:lang w:val="fr-CA"/>
        </w:rPr>
        <w:t>erturbations du réseau</w:t>
      </w:r>
    </w:p>
    <w:p w14:paraId="03269EFD" w14:textId="77777777" w:rsidR="00E96362" w:rsidRPr="00683937" w:rsidRDefault="00E96362" w:rsidP="00E96362">
      <w:pPr>
        <w:pStyle w:val="Heading3"/>
        <w:rPr>
          <w:lang w:val="fr-CA"/>
        </w:rPr>
      </w:pPr>
      <w:bookmarkStart w:id="335" w:name="_Toc140069113"/>
      <w:bookmarkStart w:id="336" w:name="_Toc140069164"/>
      <w:bookmarkStart w:id="337" w:name="_Toc140069207"/>
      <w:bookmarkStart w:id="338" w:name="_Toc152766339"/>
      <w:bookmarkStart w:id="339" w:name="_Toc126324310"/>
      <w:r w:rsidRPr="00683937">
        <w:rPr>
          <w:lang w:val="fr-CA"/>
        </w:rPr>
        <w:t>Intervention en cas d’accident ou d’incident de fonctionnement prévu</w:t>
      </w:r>
      <w:bookmarkEnd w:id="335"/>
      <w:bookmarkEnd w:id="336"/>
      <w:bookmarkEnd w:id="337"/>
      <w:bookmarkEnd w:id="338"/>
      <w:r w:rsidRPr="00683937">
        <w:rPr>
          <w:lang w:val="fr-CA"/>
        </w:rPr>
        <w:t xml:space="preserve"> </w:t>
      </w:r>
      <w:bookmarkEnd w:id="339"/>
    </w:p>
    <w:p w14:paraId="7BAE0E06" w14:textId="77777777" w:rsidR="00E96362" w:rsidRPr="00683937" w:rsidRDefault="00E96362" w:rsidP="00E96362">
      <w:pPr>
        <w:pStyle w:val="HeadingRequirementsorGuidanceLabel"/>
        <w:rPr>
          <w:lang w:val="fr-CA"/>
        </w:rPr>
      </w:pPr>
      <w:bookmarkStart w:id="340" w:name="_Toc140069114"/>
      <w:r w:rsidRPr="00683937">
        <w:rPr>
          <w:lang w:val="fr-CA"/>
        </w:rPr>
        <w:t>Exigences</w:t>
      </w:r>
      <w:bookmarkEnd w:id="340"/>
    </w:p>
    <w:p w14:paraId="5F5CEC46" w14:textId="141A7328" w:rsidR="00E96362" w:rsidRPr="00683937" w:rsidRDefault="00E96362" w:rsidP="00E96362">
      <w:pPr>
        <w:pStyle w:val="BodyText"/>
        <w:keepNext/>
        <w:spacing w:after="0"/>
        <w:rPr>
          <w:lang w:val="fr-CA"/>
        </w:rPr>
      </w:pPr>
      <w:r w:rsidRPr="00683937">
        <w:rPr>
          <w:lang w:val="fr-CA"/>
        </w:rPr>
        <w:t>Le titulaire de permis doit élaborer des procédures et des lignes directrices relatives aux accidents et aux IFP, y compris les accidents plus graves qu’un accident de dimensionnement. Ces procédures et lignes directrices doivent faire état de ce qui suit</w:t>
      </w:r>
      <w:r w:rsidR="00B15663">
        <w:rPr>
          <w:lang w:val="fr-CA"/>
        </w:rPr>
        <w:t> </w:t>
      </w:r>
      <w:r w:rsidRPr="00683937">
        <w:rPr>
          <w:lang w:val="fr-CA"/>
        </w:rPr>
        <w:t>:</w:t>
      </w:r>
    </w:p>
    <w:p w14:paraId="0AE12029" w14:textId="77777777" w:rsidR="00E96362" w:rsidRPr="00683937" w:rsidRDefault="00E96362" w:rsidP="00E96362">
      <w:pPr>
        <w:pStyle w:val="BulletList"/>
        <w:keepNext/>
        <w:numPr>
          <w:ilvl w:val="0"/>
          <w:numId w:val="8"/>
        </w:numPr>
        <w:ind w:left="1080"/>
        <w:rPr>
          <w:lang w:val="fr-CA"/>
        </w:rPr>
      </w:pPr>
      <w:r>
        <w:rPr>
          <w:lang w:val="fr-CA"/>
        </w:rPr>
        <w:t>l</w:t>
      </w:r>
      <w:r w:rsidRPr="00683937">
        <w:rPr>
          <w:lang w:val="fr-CA"/>
        </w:rPr>
        <w:t>es rôles et responsabilités des personnes et des équipes</w:t>
      </w:r>
    </w:p>
    <w:p w14:paraId="799B797E" w14:textId="77777777" w:rsidR="00E96362" w:rsidRPr="00683937" w:rsidRDefault="00E96362" w:rsidP="00E72DE0">
      <w:pPr>
        <w:pStyle w:val="BulletList"/>
        <w:numPr>
          <w:ilvl w:val="0"/>
          <w:numId w:val="8"/>
        </w:numPr>
        <w:ind w:left="1077" w:hanging="357"/>
        <w:rPr>
          <w:lang w:val="fr-CA"/>
        </w:rPr>
      </w:pPr>
      <w:r>
        <w:rPr>
          <w:lang w:val="fr-CA"/>
        </w:rPr>
        <w:t>l</w:t>
      </w:r>
      <w:r w:rsidRPr="00683937">
        <w:rPr>
          <w:lang w:val="fr-CA"/>
        </w:rPr>
        <w:t>es mesures et vérifications à exécuter depuis la salle de commande au début de l’événement</w:t>
      </w:r>
    </w:p>
    <w:p w14:paraId="5C90C43E" w14:textId="77777777" w:rsidR="00E96362" w:rsidRPr="00683937" w:rsidRDefault="00E96362" w:rsidP="00E72DE0">
      <w:pPr>
        <w:pStyle w:val="BulletList"/>
        <w:numPr>
          <w:ilvl w:val="0"/>
          <w:numId w:val="8"/>
        </w:numPr>
        <w:ind w:left="1077" w:hanging="357"/>
        <w:rPr>
          <w:lang w:val="fr-CA"/>
        </w:rPr>
      </w:pPr>
      <w:r>
        <w:rPr>
          <w:lang w:val="fr-CA"/>
        </w:rPr>
        <w:t>l</w:t>
      </w:r>
      <w:r w:rsidRPr="00683937">
        <w:rPr>
          <w:lang w:val="fr-CA"/>
        </w:rPr>
        <w:t>es principaux défis en matière de sûreté</w:t>
      </w:r>
    </w:p>
    <w:p w14:paraId="38C566E6" w14:textId="52CCC076" w:rsidR="00E96362" w:rsidRPr="00683937" w:rsidRDefault="00E96362" w:rsidP="00E72DE0">
      <w:pPr>
        <w:pStyle w:val="BulletList"/>
        <w:keepNext/>
        <w:numPr>
          <w:ilvl w:val="0"/>
          <w:numId w:val="8"/>
        </w:numPr>
        <w:ind w:left="1080" w:hanging="357"/>
        <w:rPr>
          <w:lang w:val="fr-CA"/>
        </w:rPr>
      </w:pPr>
      <w:r>
        <w:rPr>
          <w:lang w:val="fr-CA"/>
        </w:rPr>
        <w:t>l</w:t>
      </w:r>
      <w:r w:rsidRPr="00683937">
        <w:rPr>
          <w:lang w:val="fr-CA"/>
        </w:rPr>
        <w:t>es interventions à mener en cas d’événement, notamment</w:t>
      </w:r>
      <w:r w:rsidR="00B15663">
        <w:rPr>
          <w:lang w:val="fr-CA"/>
        </w:rPr>
        <w:t> </w:t>
      </w:r>
      <w:r w:rsidRPr="00683937">
        <w:rPr>
          <w:lang w:val="fr-CA"/>
        </w:rPr>
        <w:t>:</w:t>
      </w:r>
    </w:p>
    <w:p w14:paraId="0809605F" w14:textId="77777777" w:rsidR="00E96362" w:rsidRPr="00683937" w:rsidRDefault="00E96362" w:rsidP="00E72DE0">
      <w:pPr>
        <w:pStyle w:val="BulletListSub-item"/>
        <w:keepNext/>
        <w:numPr>
          <w:ilvl w:val="0"/>
          <w:numId w:val="7"/>
        </w:numPr>
        <w:ind w:left="1440" w:hanging="357"/>
        <w:rPr>
          <w:lang w:val="fr-CA"/>
        </w:rPr>
      </w:pPr>
      <w:r w:rsidRPr="00683937">
        <w:rPr>
          <w:lang w:val="fr-CA"/>
        </w:rPr>
        <w:t>les mesures préparatoires</w:t>
      </w:r>
    </w:p>
    <w:p w14:paraId="6AC2D5AE" w14:textId="77777777" w:rsidR="00E96362" w:rsidRPr="00683937" w:rsidRDefault="00E96362" w:rsidP="00E72DE0">
      <w:pPr>
        <w:pStyle w:val="BulletListSub-item"/>
        <w:keepNext/>
        <w:numPr>
          <w:ilvl w:val="0"/>
          <w:numId w:val="7"/>
        </w:numPr>
        <w:ind w:left="1434" w:hanging="357"/>
        <w:rPr>
          <w:lang w:val="fr-CA"/>
        </w:rPr>
      </w:pPr>
      <w:r w:rsidRPr="00683937">
        <w:rPr>
          <w:lang w:val="fr-CA"/>
        </w:rPr>
        <w:t>le personnel et l’équipement (dont le nombre et les types) requis pour l’intervention</w:t>
      </w:r>
    </w:p>
    <w:p w14:paraId="4F8C64C1" w14:textId="77777777" w:rsidR="00E96362" w:rsidRPr="00683937" w:rsidRDefault="00E96362" w:rsidP="00E96362">
      <w:pPr>
        <w:pStyle w:val="BulletListSub-itemBottom"/>
        <w:tabs>
          <w:tab w:val="num" w:pos="2492"/>
        </w:tabs>
        <w:rPr>
          <w:lang w:val="fr-CA"/>
        </w:rPr>
      </w:pPr>
      <w:r w:rsidRPr="00683937">
        <w:rPr>
          <w:lang w:val="fr-CA"/>
        </w:rPr>
        <w:t>les mesures d’atténuation des conséquences</w:t>
      </w:r>
    </w:p>
    <w:p w14:paraId="58021335" w14:textId="77777777" w:rsidR="00E96362" w:rsidRPr="00683937" w:rsidRDefault="00E96362" w:rsidP="00E96362">
      <w:pPr>
        <w:pStyle w:val="HeadingRequirementsorGuidanceLabel"/>
        <w:rPr>
          <w:lang w:val="fr-CA"/>
        </w:rPr>
      </w:pPr>
      <w:bookmarkStart w:id="341" w:name="_Toc140069115"/>
      <w:r w:rsidRPr="00683937">
        <w:rPr>
          <w:lang w:val="fr-CA"/>
        </w:rPr>
        <w:t>Orientation</w:t>
      </w:r>
      <w:bookmarkEnd w:id="341"/>
    </w:p>
    <w:p w14:paraId="62A7C2F3" w14:textId="69038428" w:rsidR="00E96362" w:rsidRPr="00683937" w:rsidRDefault="00E96362" w:rsidP="00E96362">
      <w:pPr>
        <w:pStyle w:val="BodyText"/>
        <w:keepNext/>
        <w:spacing w:after="0"/>
        <w:rPr>
          <w:lang w:val="fr-CA"/>
        </w:rPr>
      </w:pPr>
      <w:r w:rsidRPr="00683937">
        <w:rPr>
          <w:lang w:val="fr-CA"/>
        </w:rPr>
        <w:t xml:space="preserve">Pour obtenir plus d’information sur les exigences générales s’appliquant à la gestion des accidents ainsi qu’à la préparation et </w:t>
      </w:r>
      <w:r>
        <w:rPr>
          <w:lang w:val="fr-CA"/>
        </w:rPr>
        <w:t>à l’</w:t>
      </w:r>
      <w:r w:rsidRPr="00683937">
        <w:rPr>
          <w:lang w:val="fr-CA"/>
        </w:rPr>
        <w:t>intervention relatives aux urgences, veuillez consulter les documents suivants</w:t>
      </w:r>
      <w:r w:rsidR="00B15663">
        <w:rPr>
          <w:lang w:val="fr-CA"/>
        </w:rPr>
        <w:t> </w:t>
      </w:r>
      <w:r w:rsidRPr="00683937">
        <w:rPr>
          <w:lang w:val="fr-CA"/>
        </w:rPr>
        <w:t>:</w:t>
      </w:r>
    </w:p>
    <w:p w14:paraId="58EED74B" w14:textId="0547C936" w:rsidR="00E96362" w:rsidRPr="00683937" w:rsidRDefault="00E96362" w:rsidP="00E96362">
      <w:pPr>
        <w:pStyle w:val="BulletList"/>
        <w:keepNext/>
        <w:numPr>
          <w:ilvl w:val="0"/>
          <w:numId w:val="8"/>
        </w:numPr>
        <w:ind w:left="1080"/>
        <w:rPr>
          <w:lang w:val="fr-CA"/>
        </w:rPr>
      </w:pPr>
      <w:r w:rsidRPr="00683937">
        <w:rPr>
          <w:lang w:val="fr-CA"/>
        </w:rPr>
        <w:t>REGDOC</w:t>
      </w:r>
      <w:r w:rsidRPr="00683937">
        <w:rPr>
          <w:lang w:val="fr-CA"/>
        </w:rPr>
        <w:noBreakHyphen/>
        <w:t xml:space="preserve">2.3.2, </w:t>
      </w:r>
      <w:r w:rsidRPr="00683937">
        <w:rPr>
          <w:i/>
          <w:iCs/>
          <w:lang w:val="fr-CA"/>
        </w:rPr>
        <w:t>Gestion des accidents</w:t>
      </w:r>
      <w:r w:rsidRPr="00683937">
        <w:rPr>
          <w:lang w:val="fr-CA"/>
        </w:rPr>
        <w:t> [</w:t>
      </w:r>
      <w:r w:rsidR="00A0465B">
        <w:rPr>
          <w:lang w:val="fr-CA"/>
        </w:rPr>
        <w:t>3</w:t>
      </w:r>
      <w:r w:rsidR="00E33437">
        <w:rPr>
          <w:lang w:val="fr-CA"/>
        </w:rPr>
        <w:t>2</w:t>
      </w:r>
      <w:r w:rsidRPr="00683937">
        <w:rPr>
          <w:lang w:val="fr-CA"/>
        </w:rPr>
        <w:t>]</w:t>
      </w:r>
    </w:p>
    <w:p w14:paraId="5DC62B1E" w14:textId="2DFEDEC8" w:rsidR="00E96362" w:rsidRPr="00683937" w:rsidRDefault="00E96362" w:rsidP="00E96362">
      <w:pPr>
        <w:pStyle w:val="BulletListLastItem"/>
        <w:numPr>
          <w:ilvl w:val="0"/>
          <w:numId w:val="8"/>
        </w:numPr>
        <w:ind w:left="1080"/>
        <w:rPr>
          <w:lang w:val="fr-CA"/>
        </w:rPr>
      </w:pPr>
      <w:r w:rsidRPr="00683937">
        <w:rPr>
          <w:lang w:val="fr-CA"/>
        </w:rPr>
        <w:t>REGDOC</w:t>
      </w:r>
      <w:r w:rsidRPr="00683937">
        <w:rPr>
          <w:lang w:val="fr-CA"/>
        </w:rPr>
        <w:noBreakHyphen/>
        <w:t xml:space="preserve">2.10.1, </w:t>
      </w:r>
      <w:r w:rsidRPr="00683937">
        <w:rPr>
          <w:i/>
          <w:iCs/>
          <w:lang w:val="fr-CA"/>
        </w:rPr>
        <w:t>Préparation et intervention relatives aux urgences nucléaires</w:t>
      </w:r>
      <w:r w:rsidRPr="00683937">
        <w:rPr>
          <w:lang w:val="fr-CA"/>
        </w:rPr>
        <w:t> [</w:t>
      </w:r>
      <w:r w:rsidR="0075619F">
        <w:rPr>
          <w:lang w:val="fr-CA"/>
        </w:rPr>
        <w:t>3</w:t>
      </w:r>
      <w:r w:rsidR="00E33437">
        <w:rPr>
          <w:lang w:val="fr-CA"/>
        </w:rPr>
        <w:t>3</w:t>
      </w:r>
      <w:r w:rsidRPr="00683937">
        <w:rPr>
          <w:lang w:val="fr-CA"/>
        </w:rPr>
        <w:t>]</w:t>
      </w:r>
    </w:p>
    <w:p w14:paraId="1670F3B2" w14:textId="77777777" w:rsidR="00E96362" w:rsidRPr="00683937" w:rsidRDefault="00E96362" w:rsidP="00E96362">
      <w:pPr>
        <w:pStyle w:val="Heading3"/>
        <w:rPr>
          <w:lang w:val="fr-CA"/>
        </w:rPr>
      </w:pPr>
      <w:bookmarkStart w:id="342" w:name="_Toc140069116"/>
      <w:bookmarkStart w:id="343" w:name="_Toc140069165"/>
      <w:bookmarkStart w:id="344" w:name="_Toc140069208"/>
      <w:bookmarkStart w:id="345" w:name="_Toc152766340"/>
      <w:r w:rsidRPr="00683937">
        <w:rPr>
          <w:lang w:val="fr-CA"/>
        </w:rPr>
        <w:t xml:space="preserve">Continuité des </w:t>
      </w:r>
      <w:r>
        <w:rPr>
          <w:lang w:val="fr-CA"/>
        </w:rPr>
        <w:t>activités</w:t>
      </w:r>
      <w:r w:rsidRPr="00683937">
        <w:rPr>
          <w:lang w:val="fr-CA"/>
        </w:rPr>
        <w:t xml:space="preserve"> dans le contexte d’un programme d’exploitation</w:t>
      </w:r>
      <w:bookmarkEnd w:id="342"/>
      <w:bookmarkEnd w:id="343"/>
      <w:bookmarkEnd w:id="344"/>
      <w:bookmarkEnd w:id="345"/>
    </w:p>
    <w:p w14:paraId="0641A652" w14:textId="4A6D0E4E" w:rsidR="00E96362" w:rsidRPr="00683937" w:rsidRDefault="00E96362" w:rsidP="00E96362">
      <w:pPr>
        <w:pStyle w:val="BodyText"/>
        <w:rPr>
          <w:lang w:val="fr-CA"/>
        </w:rPr>
      </w:pPr>
      <w:r w:rsidRPr="00683937">
        <w:rPr>
          <w:lang w:val="fr-CA"/>
        </w:rPr>
        <w:t xml:space="preserve">La continuité des </w:t>
      </w:r>
      <w:r>
        <w:rPr>
          <w:lang w:val="fr-CA"/>
        </w:rPr>
        <w:t>activités</w:t>
      </w:r>
      <w:r w:rsidRPr="00683937">
        <w:rPr>
          <w:lang w:val="fr-CA"/>
        </w:rPr>
        <w:t xml:space="preserve"> concerne la mesure dans laquelle une entité est prête à maintenir les fonctions essentielles pendant et après une urgence ou une perturbation. Voici quelques exemples de situations touchant</w:t>
      </w:r>
      <w:r>
        <w:rPr>
          <w:lang w:val="fr-CA"/>
        </w:rPr>
        <w:t xml:space="preserve"> à</w:t>
      </w:r>
      <w:r w:rsidRPr="00683937">
        <w:rPr>
          <w:lang w:val="fr-CA"/>
        </w:rPr>
        <w:t xml:space="preserve"> la continuité des </w:t>
      </w:r>
      <w:r>
        <w:rPr>
          <w:lang w:val="fr-CA"/>
        </w:rPr>
        <w:t>activités</w:t>
      </w:r>
      <w:r w:rsidR="00B15663">
        <w:rPr>
          <w:lang w:val="fr-CA"/>
        </w:rPr>
        <w:t> </w:t>
      </w:r>
      <w:r w:rsidRPr="00683937">
        <w:rPr>
          <w:lang w:val="fr-CA"/>
        </w:rPr>
        <w:t>: atteintes à la sécurité; catastrophes naturelles, pandémies et perturbations sociales (c’est-à-dire tout événement qui limite l’accès du personnel d’exploitation au site).</w:t>
      </w:r>
    </w:p>
    <w:p w14:paraId="1F96432D" w14:textId="77777777" w:rsidR="00E96362" w:rsidRPr="00683937" w:rsidRDefault="00E96362" w:rsidP="00E96362">
      <w:pPr>
        <w:pStyle w:val="HeadingRequirementsorGuidanceLabel"/>
        <w:rPr>
          <w:lang w:val="fr-CA"/>
        </w:rPr>
      </w:pPr>
      <w:bookmarkStart w:id="346" w:name="_Toc140069117"/>
      <w:r w:rsidRPr="00683937">
        <w:rPr>
          <w:lang w:val="fr-CA"/>
        </w:rPr>
        <w:t>Exigences</w:t>
      </w:r>
      <w:bookmarkEnd w:id="346"/>
    </w:p>
    <w:p w14:paraId="629BCF57" w14:textId="7DE27F55" w:rsidR="00E96362" w:rsidRPr="00683937" w:rsidRDefault="00E96362" w:rsidP="00E96362">
      <w:pPr>
        <w:pStyle w:val="BodyText"/>
        <w:keepNext/>
        <w:spacing w:after="0"/>
        <w:rPr>
          <w:lang w:val="fr-CA"/>
        </w:rPr>
      </w:pPr>
      <w:r w:rsidRPr="00683937">
        <w:rPr>
          <w:lang w:val="fr-CA"/>
        </w:rPr>
        <w:t xml:space="preserve">Le titulaire de permis doit établir et mettre en œuvre des dispositions concernant la continuité des </w:t>
      </w:r>
      <w:r>
        <w:rPr>
          <w:lang w:val="fr-CA"/>
        </w:rPr>
        <w:t>activités</w:t>
      </w:r>
      <w:r w:rsidRPr="00683937">
        <w:rPr>
          <w:lang w:val="fr-CA"/>
        </w:rPr>
        <w:t xml:space="preserve"> dans le contexte d’un programme d’exploitation. Ces dispositions doivent comprendre des mesures permettant d’assurer</w:t>
      </w:r>
      <w:r w:rsidR="00B15663">
        <w:rPr>
          <w:lang w:val="fr-CA"/>
        </w:rPr>
        <w:t> </w:t>
      </w:r>
      <w:r w:rsidRPr="00683937">
        <w:rPr>
          <w:lang w:val="fr-CA"/>
        </w:rPr>
        <w:t>:</w:t>
      </w:r>
    </w:p>
    <w:p w14:paraId="0E6E2D14" w14:textId="77777777" w:rsidR="00E96362" w:rsidRPr="00683937" w:rsidRDefault="00E96362" w:rsidP="00E96362">
      <w:pPr>
        <w:pStyle w:val="BulletList"/>
        <w:keepNext/>
        <w:numPr>
          <w:ilvl w:val="0"/>
          <w:numId w:val="8"/>
        </w:numPr>
        <w:ind w:left="1077" w:hanging="357"/>
        <w:rPr>
          <w:lang w:val="fr-CA"/>
        </w:rPr>
      </w:pPr>
      <w:r w:rsidRPr="00683937">
        <w:rPr>
          <w:lang w:val="fr-CA"/>
        </w:rPr>
        <w:t>la sécurité des travailleurs</w:t>
      </w:r>
    </w:p>
    <w:p w14:paraId="33C3FE08" w14:textId="77777777" w:rsidR="00E96362" w:rsidRPr="00683937" w:rsidRDefault="00E96362" w:rsidP="00E96362">
      <w:pPr>
        <w:pStyle w:val="BulletList"/>
        <w:numPr>
          <w:ilvl w:val="0"/>
          <w:numId w:val="8"/>
        </w:numPr>
        <w:ind w:left="1080"/>
        <w:rPr>
          <w:lang w:val="fr-CA"/>
        </w:rPr>
      </w:pPr>
      <w:r w:rsidRPr="00683937">
        <w:rPr>
          <w:lang w:val="fr-CA"/>
        </w:rPr>
        <w:t>l’accès au site de l’installation</w:t>
      </w:r>
    </w:p>
    <w:p w14:paraId="00F5415E" w14:textId="77777777" w:rsidR="00E96362" w:rsidRPr="00683937" w:rsidRDefault="00E96362" w:rsidP="00E96362">
      <w:pPr>
        <w:pStyle w:val="BulletList"/>
        <w:keepNext/>
        <w:numPr>
          <w:ilvl w:val="0"/>
          <w:numId w:val="8"/>
        </w:numPr>
        <w:ind w:left="1077" w:hanging="357"/>
        <w:rPr>
          <w:lang w:val="fr-CA"/>
        </w:rPr>
      </w:pPr>
      <w:r w:rsidRPr="00683937">
        <w:rPr>
          <w:lang w:val="fr-CA"/>
        </w:rPr>
        <w:t>la fiabilité de la chaîne d’approvisionnement</w:t>
      </w:r>
    </w:p>
    <w:p w14:paraId="5BD95910" w14:textId="77777777" w:rsidR="00E96362" w:rsidRPr="00683937" w:rsidRDefault="00E96362" w:rsidP="00E96362">
      <w:pPr>
        <w:pStyle w:val="BulletListLastItem"/>
        <w:numPr>
          <w:ilvl w:val="0"/>
          <w:numId w:val="8"/>
        </w:numPr>
        <w:ind w:left="1080"/>
        <w:rPr>
          <w:lang w:val="fr-CA"/>
        </w:rPr>
      </w:pPr>
      <w:r w:rsidRPr="00683937">
        <w:rPr>
          <w:lang w:val="fr-CA"/>
        </w:rPr>
        <w:t>l’exploitation continue en toute sûreté</w:t>
      </w:r>
    </w:p>
    <w:p w14:paraId="3C3A9135" w14:textId="77777777" w:rsidR="00E96362" w:rsidRPr="00683937" w:rsidRDefault="00E96362" w:rsidP="00E96362">
      <w:pPr>
        <w:pStyle w:val="HeadingRequirementsorGuidanceLabel"/>
        <w:rPr>
          <w:lang w:val="fr-CA"/>
        </w:rPr>
      </w:pPr>
      <w:bookmarkStart w:id="347" w:name="_Toc140069118"/>
      <w:r w:rsidRPr="00683937">
        <w:rPr>
          <w:lang w:val="fr-CA"/>
        </w:rPr>
        <w:t>Orientation</w:t>
      </w:r>
      <w:bookmarkEnd w:id="347"/>
    </w:p>
    <w:p w14:paraId="2DE16DC1" w14:textId="77777777" w:rsidR="00E96362" w:rsidRPr="00683937" w:rsidRDefault="00E96362" w:rsidP="00E96362">
      <w:pPr>
        <w:pStyle w:val="BodyText"/>
        <w:rPr>
          <w:lang w:val="fr-CA"/>
        </w:rPr>
      </w:pPr>
      <w:r w:rsidRPr="00683937">
        <w:rPr>
          <w:lang w:val="fr-CA"/>
        </w:rPr>
        <w:t xml:space="preserve">Le titulaire de permis peut mettre en place des dispositions concernant la continuité des </w:t>
      </w:r>
      <w:r>
        <w:rPr>
          <w:lang w:val="fr-CA"/>
        </w:rPr>
        <w:t>activités</w:t>
      </w:r>
      <w:r w:rsidRPr="00683937">
        <w:rPr>
          <w:lang w:val="fr-CA"/>
        </w:rPr>
        <w:t xml:space="preserve"> dans le contexte d’un programme d’exploitation par l’entremise de la documentation sur la planification de la continuité des </w:t>
      </w:r>
      <w:r>
        <w:rPr>
          <w:lang w:val="fr-CA"/>
        </w:rPr>
        <w:t>activités</w:t>
      </w:r>
      <w:r w:rsidRPr="00683937">
        <w:rPr>
          <w:lang w:val="fr-CA"/>
        </w:rPr>
        <w:t xml:space="preserve"> qui se trouve dans son système de gestion. </w:t>
      </w:r>
    </w:p>
    <w:p w14:paraId="3C3C543D" w14:textId="77777777" w:rsidR="00E96362" w:rsidRPr="00683937" w:rsidRDefault="00E96362" w:rsidP="00E96362">
      <w:pPr>
        <w:pStyle w:val="BodyText"/>
        <w:rPr>
          <w:lang w:val="fr-CA"/>
        </w:rPr>
      </w:pPr>
      <w:r w:rsidRPr="00683937">
        <w:rPr>
          <w:lang w:val="fr-CA"/>
        </w:rPr>
        <w:t xml:space="preserve">En ce qui a trait à l’accès au site de l’installation, le titulaire de permis devrait veiller à ce que des arrangements soient mis en place pour gérer les situations pouvant faire en sorte que le personnel de quart sortant aura de la difficulté à quitter le site ou que le personnel de quart entrant aura de la difficulté à entrer sur le site en temps voulu; par exemple, en cas de conditions météorologiques extrêmes. Ces arrangements devraient prévoir la capacité d’utiliser tous les moyens pratiques pour transporter le personnel vers le site et depuis le site, particulièrement les moyens de transporter le personnel de quart entrant vers le site.  </w:t>
      </w:r>
    </w:p>
    <w:p w14:paraId="71787ACE" w14:textId="77777777" w:rsidR="00E96362" w:rsidRPr="00683937" w:rsidRDefault="00E96362" w:rsidP="00E96362">
      <w:pPr>
        <w:pStyle w:val="BodyText"/>
        <w:rPr>
          <w:lang w:val="fr-CA"/>
        </w:rPr>
      </w:pPr>
      <w:r w:rsidRPr="00683937">
        <w:rPr>
          <w:lang w:val="fr-CA"/>
        </w:rPr>
        <w:t>Concernant les cas de conditions météorologiques extrêmes, le titulaire de permis devrait s’assurer qu’il existe des dispositions pour convoquer du personnel supplémentaire avant le début des conditions météorologiques extrêmes (afin que l</w:t>
      </w:r>
      <w:r>
        <w:rPr>
          <w:lang w:val="fr-CA"/>
        </w:rPr>
        <w:t>e personnel</w:t>
      </w:r>
      <w:r w:rsidRPr="00683937">
        <w:rPr>
          <w:lang w:val="fr-CA"/>
        </w:rPr>
        <w:t xml:space="preserve"> puisse se reposer </w:t>
      </w:r>
      <w:r>
        <w:rPr>
          <w:lang w:val="fr-CA"/>
        </w:rPr>
        <w:t>à tour de rôle</w:t>
      </w:r>
      <w:r w:rsidRPr="00683937">
        <w:rPr>
          <w:lang w:val="fr-CA"/>
        </w:rPr>
        <w:t>).</w:t>
      </w:r>
    </w:p>
    <w:p w14:paraId="360C1817" w14:textId="1547D748" w:rsidR="00E96362" w:rsidRPr="00683937" w:rsidRDefault="00E96362" w:rsidP="00E96362">
      <w:pPr>
        <w:pStyle w:val="BodyText"/>
        <w:rPr>
          <w:lang w:val="fr-CA"/>
        </w:rPr>
      </w:pPr>
      <w:r w:rsidRPr="00683937">
        <w:rPr>
          <w:lang w:val="fr-CA"/>
        </w:rPr>
        <w:t>Pour obtenir plus d’information sur le maintien de l’effectif minimal, veuillez consulter le REGDOC</w:t>
      </w:r>
      <w:r w:rsidRPr="00683937">
        <w:rPr>
          <w:lang w:val="fr-CA"/>
        </w:rPr>
        <w:noBreakHyphen/>
        <w:t xml:space="preserve">2.2.5, </w:t>
      </w:r>
      <w:r w:rsidRPr="00683937">
        <w:rPr>
          <w:i/>
          <w:iCs/>
          <w:lang w:val="fr-CA"/>
        </w:rPr>
        <w:t>Effectif minimal</w:t>
      </w:r>
      <w:r w:rsidRPr="00683937">
        <w:rPr>
          <w:lang w:val="fr-CA"/>
        </w:rPr>
        <w:t> [</w:t>
      </w:r>
      <w:r w:rsidR="00A0465B">
        <w:rPr>
          <w:lang w:val="fr-CA"/>
        </w:rPr>
        <w:t>2</w:t>
      </w:r>
      <w:r w:rsidR="006A400F">
        <w:rPr>
          <w:lang w:val="fr-CA"/>
        </w:rPr>
        <w:t>2</w:t>
      </w:r>
      <w:r w:rsidRPr="00683937">
        <w:rPr>
          <w:lang w:val="fr-CA"/>
        </w:rPr>
        <w:t>].</w:t>
      </w:r>
    </w:p>
    <w:p w14:paraId="0904E986" w14:textId="77777777" w:rsidR="00E96362" w:rsidRPr="00683937" w:rsidRDefault="00E96362" w:rsidP="00E96362">
      <w:pPr>
        <w:pStyle w:val="Heading3"/>
        <w:rPr>
          <w:lang w:val="fr-CA"/>
        </w:rPr>
      </w:pPr>
      <w:bookmarkStart w:id="348" w:name="_Toc126324312"/>
      <w:bookmarkStart w:id="349" w:name="_Toc140069119"/>
      <w:bookmarkStart w:id="350" w:name="_Toc140069166"/>
      <w:bookmarkStart w:id="351" w:name="_Toc140069209"/>
      <w:bookmarkStart w:id="352" w:name="_Toc152766341"/>
      <w:r w:rsidRPr="00683937">
        <w:rPr>
          <w:lang w:val="fr-CA"/>
        </w:rPr>
        <w:t>Retour à l’état d’exploitation sûre</w:t>
      </w:r>
      <w:bookmarkEnd w:id="348"/>
      <w:bookmarkEnd w:id="349"/>
      <w:bookmarkEnd w:id="350"/>
      <w:bookmarkEnd w:id="351"/>
      <w:bookmarkEnd w:id="352"/>
    </w:p>
    <w:p w14:paraId="1C7F71E1" w14:textId="77777777" w:rsidR="00E96362" w:rsidRPr="00683937" w:rsidRDefault="00E96362" w:rsidP="00E96362">
      <w:pPr>
        <w:pStyle w:val="HeadingRequirementsorGuidanceLabel"/>
        <w:rPr>
          <w:lang w:val="fr-CA"/>
        </w:rPr>
      </w:pPr>
      <w:bookmarkStart w:id="353" w:name="_Toc140069120"/>
      <w:r w:rsidRPr="00683937">
        <w:rPr>
          <w:lang w:val="fr-CA"/>
        </w:rPr>
        <w:t>Exigences</w:t>
      </w:r>
      <w:bookmarkEnd w:id="353"/>
    </w:p>
    <w:p w14:paraId="6040810E" w14:textId="5EC2A232" w:rsidR="00E96362" w:rsidRPr="00683937" w:rsidRDefault="00E96362" w:rsidP="00E96362">
      <w:pPr>
        <w:pStyle w:val="BodyText"/>
        <w:rPr>
          <w:lang w:val="fr-CA"/>
        </w:rPr>
      </w:pPr>
      <w:r w:rsidRPr="00683937">
        <w:rPr>
          <w:lang w:val="fr-CA"/>
        </w:rPr>
        <w:t xml:space="preserve">Lorsque survient un événement au cours duquel les paramètres dévient des </w:t>
      </w:r>
      <w:r w:rsidR="00017597">
        <w:rPr>
          <w:lang w:val="fr-CA"/>
        </w:rPr>
        <w:t xml:space="preserve">LCE en </w:t>
      </w:r>
      <w:r w:rsidRPr="00683937">
        <w:rPr>
          <w:lang w:val="fr-CA"/>
        </w:rPr>
        <w:t xml:space="preserve">exploitation normale, le titulaire de permis doit s’assurer </w:t>
      </w:r>
      <w:r w:rsidR="00CF7F73" w:rsidRPr="00B14D44">
        <w:rPr>
          <w:lang w:val="fr-CA"/>
        </w:rPr>
        <w:t xml:space="preserve">que des mesures et des décisions d’exploitation appropriées sont prises, conformément </w:t>
      </w:r>
      <w:r w:rsidRPr="00683937">
        <w:rPr>
          <w:lang w:val="fr-CA"/>
        </w:rPr>
        <w:t xml:space="preserve">aux procédures applicables, pour ramener l’installation </w:t>
      </w:r>
      <w:r>
        <w:rPr>
          <w:lang w:val="fr-CA"/>
        </w:rPr>
        <w:t>dans</w:t>
      </w:r>
      <w:r w:rsidRPr="00683937">
        <w:rPr>
          <w:lang w:val="fr-CA"/>
        </w:rPr>
        <w:t xml:space="preserve"> un état d’exploitation sûre.</w:t>
      </w:r>
    </w:p>
    <w:p w14:paraId="25A3D865" w14:textId="15D0EECA" w:rsidR="00E96362" w:rsidRPr="00683937" w:rsidRDefault="00E96362" w:rsidP="00E96362">
      <w:pPr>
        <w:pStyle w:val="BodyText"/>
        <w:keepNext/>
        <w:spacing w:after="0"/>
        <w:rPr>
          <w:lang w:val="fr-CA"/>
        </w:rPr>
      </w:pPr>
      <w:r w:rsidRPr="00683937">
        <w:rPr>
          <w:lang w:val="fr-CA"/>
        </w:rPr>
        <w:t>À la suite de l’événement, le titulaire de permis doit</w:t>
      </w:r>
      <w:r w:rsidR="00B15663">
        <w:rPr>
          <w:lang w:val="fr-CA"/>
        </w:rPr>
        <w:t> </w:t>
      </w:r>
      <w:r w:rsidRPr="00683937">
        <w:rPr>
          <w:lang w:val="fr-CA"/>
        </w:rPr>
        <w:t>:</w:t>
      </w:r>
    </w:p>
    <w:p w14:paraId="19B15A29" w14:textId="4E40B53F" w:rsidR="00E96362" w:rsidRPr="00683937" w:rsidRDefault="00E96362" w:rsidP="00E96362">
      <w:pPr>
        <w:pStyle w:val="BulletList"/>
        <w:numPr>
          <w:ilvl w:val="0"/>
          <w:numId w:val="8"/>
        </w:numPr>
        <w:ind w:left="1080"/>
        <w:rPr>
          <w:lang w:val="fr-CA"/>
        </w:rPr>
      </w:pPr>
      <w:r w:rsidRPr="00683937">
        <w:rPr>
          <w:lang w:val="fr-CA"/>
        </w:rPr>
        <w:t>entreprendre un examen et une évaluation de l’événement (par exemple, en effectuant une analyse des causes fondamentales, au besoin) aux fins suivantes</w:t>
      </w:r>
      <w:r w:rsidR="00B15663">
        <w:rPr>
          <w:lang w:val="fr-CA"/>
        </w:rPr>
        <w:t> </w:t>
      </w:r>
      <w:r w:rsidRPr="00683937">
        <w:rPr>
          <w:lang w:val="fr-CA"/>
        </w:rPr>
        <w:t>:</w:t>
      </w:r>
    </w:p>
    <w:p w14:paraId="43DC849A" w14:textId="77777777" w:rsidR="00E96362" w:rsidRPr="00683937" w:rsidRDefault="00E96362" w:rsidP="00E96362">
      <w:pPr>
        <w:pStyle w:val="BulletListSub-item"/>
        <w:numPr>
          <w:ilvl w:val="0"/>
          <w:numId w:val="7"/>
        </w:numPr>
        <w:ind w:left="1440"/>
        <w:rPr>
          <w:lang w:val="fr-CA"/>
        </w:rPr>
      </w:pPr>
      <w:r>
        <w:rPr>
          <w:lang w:val="fr-CA"/>
        </w:rPr>
        <w:t>é</w:t>
      </w:r>
      <w:r w:rsidRPr="00683937">
        <w:rPr>
          <w:lang w:val="fr-CA"/>
        </w:rPr>
        <w:t>valuer l’incidence sur l’équipement de l’installation, les travailleurs et l’environnement</w:t>
      </w:r>
    </w:p>
    <w:p w14:paraId="7DD7DA23" w14:textId="77777777" w:rsidR="00E96362" w:rsidRPr="00683937" w:rsidRDefault="00E96362" w:rsidP="00E96362">
      <w:pPr>
        <w:pStyle w:val="BulletListSub-item"/>
        <w:numPr>
          <w:ilvl w:val="0"/>
          <w:numId w:val="7"/>
        </w:numPr>
        <w:ind w:left="1440"/>
        <w:rPr>
          <w:lang w:val="fr-CA"/>
        </w:rPr>
      </w:pPr>
      <w:r>
        <w:rPr>
          <w:lang w:val="fr-CA"/>
        </w:rPr>
        <w:t>d</w:t>
      </w:r>
      <w:r w:rsidRPr="00683937">
        <w:rPr>
          <w:lang w:val="fr-CA"/>
        </w:rPr>
        <w:t>éterminer si l’événement consiste en une défaillance grave de système fonctionnel</w:t>
      </w:r>
    </w:p>
    <w:p w14:paraId="5CD87AE2" w14:textId="77777777" w:rsidR="00E96362" w:rsidRPr="00683937" w:rsidRDefault="00E96362" w:rsidP="00E96362">
      <w:pPr>
        <w:pStyle w:val="BulletListSub-item"/>
        <w:numPr>
          <w:ilvl w:val="0"/>
          <w:numId w:val="7"/>
        </w:numPr>
        <w:ind w:left="1440"/>
        <w:rPr>
          <w:lang w:val="fr-CA"/>
        </w:rPr>
      </w:pPr>
      <w:r>
        <w:rPr>
          <w:lang w:val="fr-CA"/>
        </w:rPr>
        <w:t>p</w:t>
      </w:r>
      <w:r w:rsidRPr="00683937">
        <w:rPr>
          <w:lang w:val="fr-CA"/>
        </w:rPr>
        <w:t>rendre les mesures correctives appropriées</w:t>
      </w:r>
    </w:p>
    <w:p w14:paraId="77EF07D7" w14:textId="77777777" w:rsidR="00E96362" w:rsidRPr="00683937" w:rsidRDefault="00E96362" w:rsidP="00E96362">
      <w:pPr>
        <w:pStyle w:val="BulletListSub-item"/>
        <w:numPr>
          <w:ilvl w:val="0"/>
          <w:numId w:val="7"/>
        </w:numPr>
        <w:ind w:left="1440"/>
        <w:rPr>
          <w:lang w:val="fr-CA"/>
        </w:rPr>
      </w:pPr>
      <w:r>
        <w:rPr>
          <w:lang w:val="fr-CA"/>
        </w:rPr>
        <w:t>c</w:t>
      </w:r>
      <w:r w:rsidRPr="00683937">
        <w:rPr>
          <w:lang w:val="fr-CA"/>
        </w:rPr>
        <w:t>onsigner toute leçon retenue</w:t>
      </w:r>
    </w:p>
    <w:p w14:paraId="280CB7D8" w14:textId="36C69736" w:rsidR="00E96362" w:rsidRPr="00683937" w:rsidRDefault="00E96362" w:rsidP="00E96362">
      <w:pPr>
        <w:pStyle w:val="BulletListLastItem"/>
        <w:numPr>
          <w:ilvl w:val="0"/>
          <w:numId w:val="8"/>
        </w:numPr>
        <w:ind w:left="1080"/>
        <w:rPr>
          <w:lang w:val="fr-CA"/>
        </w:rPr>
      </w:pPr>
      <w:r w:rsidRPr="00683937">
        <w:rPr>
          <w:lang w:val="fr-CA"/>
        </w:rPr>
        <w:t>aviser l’organisme de réglementation applicable (CCSN ou autorité provinciale) conformément au système établi de rapports d’événement et aux exigences en matière de production de rapports applicables aux termes du REGDOC</w:t>
      </w:r>
      <w:r w:rsidRPr="00683937">
        <w:rPr>
          <w:lang w:val="fr-CA"/>
        </w:rPr>
        <w:noBreakHyphen/>
        <w:t xml:space="preserve">3.1.1, </w:t>
      </w:r>
      <w:r w:rsidRPr="00683937">
        <w:rPr>
          <w:i/>
          <w:iCs/>
          <w:lang w:val="fr-CA"/>
        </w:rPr>
        <w:t>Rapports à soumettre par les exploitants de centrales nucléaires</w:t>
      </w:r>
      <w:r w:rsidRPr="00683937">
        <w:rPr>
          <w:lang w:val="fr-CA"/>
        </w:rPr>
        <w:t> [2</w:t>
      </w:r>
      <w:r w:rsidR="006A400F">
        <w:rPr>
          <w:lang w:val="fr-CA"/>
        </w:rPr>
        <w:t>8</w:t>
      </w:r>
      <w:r w:rsidRPr="00683937">
        <w:rPr>
          <w:lang w:val="fr-CA"/>
        </w:rPr>
        <w:t>]</w:t>
      </w:r>
    </w:p>
    <w:p w14:paraId="0AF5B350" w14:textId="61C6375D" w:rsidR="00E96362" w:rsidRDefault="00E96362" w:rsidP="00E96362">
      <w:pPr>
        <w:pStyle w:val="BodyText"/>
        <w:rPr>
          <w:lang w:val="fr-CA"/>
        </w:rPr>
      </w:pPr>
      <w:r w:rsidRPr="00683937">
        <w:rPr>
          <w:lang w:val="fr-CA"/>
        </w:rPr>
        <w:t>Le titulaire de permis doit établir des conditions et des critères de redémarrage. Avant de redémarrer le réacteur, le titulaire de permis doit revalider l’aptitude fonctionnelle et les fonctions de sûreté qui ont pu être touchées par l’événement.</w:t>
      </w:r>
    </w:p>
    <w:p w14:paraId="59C2507F" w14:textId="77777777" w:rsidR="001F4E3B" w:rsidRPr="001F4E3B" w:rsidRDefault="001F4E3B" w:rsidP="001F4E3B">
      <w:pPr>
        <w:pStyle w:val="BodyText"/>
        <w:rPr>
          <w:lang w:val="fr-CA"/>
        </w:rPr>
      </w:pPr>
      <w:r w:rsidRPr="001F4E3B">
        <w:rPr>
          <w:lang w:val="fr-CA"/>
        </w:rPr>
        <w:t>Lorsqu’un événement est considéré comme une défaillance grave de système fonctionnel ou lorsque la détermination de la cause ou de l’étendue de la condition est non concluante (en d’autres mots, une défaillance grave de système fonctionnel ne peut être exclue), le titulaire de permis doit soumettre une demande par écrit pour obtenir l’autorisation de redémarrer le réacteur.</w:t>
      </w:r>
    </w:p>
    <w:p w14:paraId="0C46C9CC" w14:textId="7E911D60" w:rsidR="00E72DE0" w:rsidRPr="001F4E3B" w:rsidRDefault="001F4E3B" w:rsidP="001F4E3B">
      <w:pPr>
        <w:pStyle w:val="BodyText"/>
        <w:rPr>
          <w:lang w:val="fr-CA"/>
        </w:rPr>
      </w:pPr>
      <w:r w:rsidRPr="001F4E3B">
        <w:rPr>
          <w:lang w:val="fr-CA"/>
        </w:rPr>
        <w:t>Si plus d’une défaillance grave de système fonctionnel se produit au cours d’une période de trois (3) ans, le titulaire de permis doit soumettre un rapport à la Commission, et la Commission prendra une décision sur l’état de l’installation dotée de réacteurs.</w:t>
      </w:r>
    </w:p>
    <w:p w14:paraId="0EECAF60" w14:textId="77777777" w:rsidR="00E96362" w:rsidRPr="00223C6B" w:rsidRDefault="00E96362" w:rsidP="00E96362">
      <w:pPr>
        <w:pStyle w:val="HeadingRequirementsorGuidanceLabel"/>
        <w:rPr>
          <w:lang w:val="fr-CA"/>
        </w:rPr>
      </w:pPr>
      <w:bookmarkStart w:id="354" w:name="_Toc140069121"/>
      <w:r w:rsidRPr="00223C6B">
        <w:rPr>
          <w:lang w:val="fr-CA"/>
        </w:rPr>
        <w:t>Orientation</w:t>
      </w:r>
      <w:bookmarkEnd w:id="354"/>
    </w:p>
    <w:p w14:paraId="2910A8E7" w14:textId="1B3FD2E5" w:rsidR="00E96362" w:rsidRPr="001F4E3B" w:rsidRDefault="00E96362" w:rsidP="00E96362">
      <w:pPr>
        <w:pStyle w:val="BodyText"/>
        <w:rPr>
          <w:lang w:val="fr-CA"/>
        </w:rPr>
      </w:pPr>
      <w:r w:rsidRPr="00223C6B">
        <w:rPr>
          <w:lang w:val="fr-CA"/>
        </w:rPr>
        <w:t xml:space="preserve">Parmi les mesures à prendre pour assurer le retour à un état sûr, mentionnons à titre d’exemples </w:t>
      </w:r>
      <w:r w:rsidRPr="001F4E3B">
        <w:rPr>
          <w:lang w:val="fr-CA"/>
        </w:rPr>
        <w:t>les inspections, les essais, et la réparation ou le remplacement de SSC endommagés.</w:t>
      </w:r>
    </w:p>
    <w:p w14:paraId="07378A36" w14:textId="04F1561F" w:rsidR="001F4E3B" w:rsidRPr="00CC642A" w:rsidRDefault="001F4E3B" w:rsidP="001F4E3B">
      <w:pPr>
        <w:pStyle w:val="BodyText"/>
        <w:keepNext/>
        <w:spacing w:after="0"/>
        <w:rPr>
          <w:lang w:val="fr-CA"/>
        </w:rPr>
      </w:pPr>
      <w:r w:rsidRPr="001F4E3B">
        <w:rPr>
          <w:lang w:val="fr-CA"/>
        </w:rPr>
        <w:t xml:space="preserve">La demande écrite pour obtenir l’autorisation de redémarrer le réacteur doit démontrer que l’installation demeure dans les limites de son fondement d’autorisation et qu’elle peut être exploitée en toute sûreté. </w:t>
      </w:r>
      <w:r w:rsidRPr="00CC642A">
        <w:rPr>
          <w:lang w:val="fr-CA"/>
        </w:rPr>
        <w:t>Le rapport doit inclure</w:t>
      </w:r>
      <w:r w:rsidR="00B15663">
        <w:rPr>
          <w:lang w:val="fr-CA"/>
        </w:rPr>
        <w:t> </w:t>
      </w:r>
      <w:r w:rsidRPr="00CC642A">
        <w:rPr>
          <w:lang w:val="fr-CA"/>
        </w:rPr>
        <w:t>:</w:t>
      </w:r>
    </w:p>
    <w:p w14:paraId="78BDE91E" w14:textId="77777777" w:rsidR="001F4E3B" w:rsidRPr="001F4E3B" w:rsidRDefault="001F4E3B" w:rsidP="001F4E3B">
      <w:pPr>
        <w:pStyle w:val="BulletList"/>
        <w:numPr>
          <w:ilvl w:val="0"/>
          <w:numId w:val="8"/>
        </w:numPr>
        <w:ind w:left="1080"/>
      </w:pPr>
      <w:r w:rsidRPr="001F4E3B">
        <w:t>une description de l’événement</w:t>
      </w:r>
    </w:p>
    <w:p w14:paraId="28A52A3F" w14:textId="77777777" w:rsidR="001F4E3B" w:rsidRPr="001F4E3B" w:rsidRDefault="001F4E3B" w:rsidP="001F4E3B">
      <w:pPr>
        <w:pStyle w:val="BulletList"/>
        <w:numPr>
          <w:ilvl w:val="0"/>
          <w:numId w:val="8"/>
        </w:numPr>
        <w:ind w:left="1080"/>
      </w:pPr>
      <w:r w:rsidRPr="001F4E3B">
        <w:t>les causes de l’événement</w:t>
      </w:r>
    </w:p>
    <w:p w14:paraId="63528096" w14:textId="77777777" w:rsidR="001F4E3B" w:rsidRPr="001F4E3B" w:rsidRDefault="001F4E3B" w:rsidP="001F4E3B">
      <w:pPr>
        <w:pStyle w:val="BulletList"/>
        <w:numPr>
          <w:ilvl w:val="0"/>
          <w:numId w:val="8"/>
        </w:numPr>
        <w:ind w:left="1080"/>
        <w:rPr>
          <w:lang w:val="fr-CA"/>
        </w:rPr>
      </w:pPr>
      <w:r w:rsidRPr="001F4E3B">
        <w:rPr>
          <w:lang w:val="fr-CA"/>
        </w:rPr>
        <w:t>les conséquences de l’événement et son importance pour la sûreté</w:t>
      </w:r>
    </w:p>
    <w:p w14:paraId="6F1BE231" w14:textId="77777777" w:rsidR="001F4E3B" w:rsidRPr="001F4E3B" w:rsidRDefault="001F4E3B" w:rsidP="001F4E3B">
      <w:pPr>
        <w:pStyle w:val="BulletList"/>
        <w:numPr>
          <w:ilvl w:val="0"/>
          <w:numId w:val="8"/>
        </w:numPr>
        <w:ind w:left="1080"/>
        <w:rPr>
          <w:lang w:val="fr-CA"/>
        </w:rPr>
      </w:pPr>
      <w:r w:rsidRPr="001F4E3B">
        <w:rPr>
          <w:lang w:val="fr-CA"/>
        </w:rPr>
        <w:t>un plan de rétablissement comprenant la mise en œuvre de mesures correctives et une évaluation de l’aptitude fonctionnelle des SSC touchés par la défaillance</w:t>
      </w:r>
    </w:p>
    <w:p w14:paraId="1BC15AA1" w14:textId="53D0F25F" w:rsidR="001F4E3B" w:rsidRPr="001F4E3B" w:rsidRDefault="001F4E3B" w:rsidP="001F4E3B">
      <w:pPr>
        <w:pStyle w:val="BulletList"/>
        <w:numPr>
          <w:ilvl w:val="0"/>
          <w:numId w:val="8"/>
        </w:numPr>
        <w:ind w:left="1080"/>
        <w:rPr>
          <w:lang w:val="fr-CA"/>
        </w:rPr>
      </w:pPr>
      <w:r w:rsidRPr="001F4E3B">
        <w:rPr>
          <w:lang w:val="fr-CA"/>
        </w:rPr>
        <w:t>de</w:t>
      </w:r>
      <w:r w:rsidR="008E231E">
        <w:rPr>
          <w:lang w:val="fr-CA"/>
        </w:rPr>
        <w:t>s</w:t>
      </w:r>
      <w:r w:rsidRPr="001F4E3B">
        <w:rPr>
          <w:lang w:val="fr-CA"/>
        </w:rPr>
        <w:t xml:space="preserve"> détails techniques et de mesures </w:t>
      </w:r>
      <w:r w:rsidR="008E231E">
        <w:rPr>
          <w:lang w:val="fr-CA"/>
        </w:rPr>
        <w:t xml:space="preserve">suffisants </w:t>
      </w:r>
      <w:r w:rsidRPr="001F4E3B">
        <w:rPr>
          <w:lang w:val="fr-CA"/>
        </w:rPr>
        <w:t xml:space="preserve">pour vérifier </w:t>
      </w:r>
      <w:r w:rsidR="008E231E">
        <w:rPr>
          <w:lang w:val="fr-CA"/>
        </w:rPr>
        <w:t>si</w:t>
      </w:r>
      <w:r w:rsidRPr="001F4E3B">
        <w:rPr>
          <w:lang w:val="fr-CA"/>
        </w:rPr>
        <w:t xml:space="preserve"> l’installation </w:t>
      </w:r>
      <w:r w:rsidR="008E231E">
        <w:rPr>
          <w:lang w:val="fr-CA"/>
        </w:rPr>
        <w:t>est prête à reprendre</w:t>
      </w:r>
      <w:r w:rsidRPr="001F4E3B">
        <w:rPr>
          <w:lang w:val="fr-CA"/>
        </w:rPr>
        <w:t xml:space="preserve"> l’exploitation sûre, y compris les conditions que le titulaire de permis entend imposer au redémarrage et l’exploitation ultérieure du réacteur pour garantir l’exploitation sûre de l’installation</w:t>
      </w:r>
    </w:p>
    <w:p w14:paraId="63BE8A75" w14:textId="77777777" w:rsidR="001F4E3B" w:rsidRPr="001F4E3B" w:rsidRDefault="001F4E3B" w:rsidP="001F4E3B">
      <w:pPr>
        <w:pStyle w:val="BulletList"/>
        <w:numPr>
          <w:ilvl w:val="0"/>
          <w:numId w:val="8"/>
        </w:numPr>
        <w:ind w:left="1080"/>
        <w:rPr>
          <w:lang w:val="fr-CA"/>
        </w:rPr>
      </w:pPr>
      <w:r w:rsidRPr="001F4E3B">
        <w:rPr>
          <w:lang w:val="fr-CA"/>
        </w:rPr>
        <w:t>une description du degré d’achèvement des conditions mentionnées dans la déclaration sur l’état de préparation de l’installation relativement à la reprise de l’exploitation sûre</w:t>
      </w:r>
    </w:p>
    <w:p w14:paraId="1FD29EA5" w14:textId="1938D6EE" w:rsidR="001F4E3B" w:rsidRPr="001F4E3B" w:rsidRDefault="001F4E3B" w:rsidP="001F4E3B">
      <w:pPr>
        <w:pStyle w:val="BulletListLastItem"/>
        <w:numPr>
          <w:ilvl w:val="0"/>
          <w:numId w:val="8"/>
        </w:numPr>
        <w:ind w:left="1080"/>
        <w:rPr>
          <w:lang w:val="fr-CA"/>
        </w:rPr>
      </w:pPr>
      <w:r w:rsidRPr="001F4E3B">
        <w:rPr>
          <w:lang w:val="fr-CA"/>
        </w:rPr>
        <w:t xml:space="preserve">si plus d’une défaillance grave de système fonctionnel s’est produite </w:t>
      </w:r>
      <w:r w:rsidR="008E231E">
        <w:rPr>
          <w:lang w:val="fr-CA"/>
        </w:rPr>
        <w:t>à</w:t>
      </w:r>
      <w:r w:rsidRPr="001F4E3B">
        <w:rPr>
          <w:lang w:val="fr-CA"/>
        </w:rPr>
        <w:t xml:space="preserve"> l’installation dotée du réacteur, une analyse indiquant s’il s’agit d’événements indépendants ou présentant des points communs</w:t>
      </w:r>
    </w:p>
    <w:p w14:paraId="7A8A68BD" w14:textId="66125A8E" w:rsidR="00E72DE0" w:rsidRPr="001F4E3B" w:rsidRDefault="001F4E3B" w:rsidP="001F4E3B">
      <w:pPr>
        <w:pStyle w:val="BodyText"/>
        <w:rPr>
          <w:lang w:val="fr-CA"/>
        </w:rPr>
      </w:pPr>
      <w:r w:rsidRPr="001F4E3B">
        <w:rPr>
          <w:lang w:val="fr-CA"/>
        </w:rPr>
        <w:t xml:space="preserve">Pour la définition des termes </w:t>
      </w:r>
      <w:r w:rsidRPr="001F4E3B">
        <w:rPr>
          <w:i/>
          <w:iCs/>
          <w:lang w:val="fr-CA"/>
        </w:rPr>
        <w:t>défaillance grave de système fonctionnel</w:t>
      </w:r>
      <w:r w:rsidRPr="001F4E3B">
        <w:rPr>
          <w:lang w:val="fr-CA"/>
        </w:rPr>
        <w:t xml:space="preserve"> et </w:t>
      </w:r>
      <w:r w:rsidRPr="001F4E3B">
        <w:rPr>
          <w:i/>
          <w:iCs/>
          <w:lang w:val="fr-CA"/>
        </w:rPr>
        <w:t>défaillance importante du combustible</w:t>
      </w:r>
      <w:r w:rsidRPr="001F4E3B">
        <w:rPr>
          <w:lang w:val="fr-CA"/>
        </w:rPr>
        <w:t xml:space="preserve">, voir la section Glossaire de ce projet de document d’application de la réglementation; Pour la définition du terme </w:t>
      </w:r>
      <w:r w:rsidRPr="001F4E3B">
        <w:rPr>
          <w:i/>
          <w:iCs/>
          <w:lang w:val="fr-CA"/>
        </w:rPr>
        <w:t>rejet important</w:t>
      </w:r>
      <w:r w:rsidRPr="001F4E3B">
        <w:rPr>
          <w:lang w:val="fr-CA"/>
        </w:rPr>
        <w:t xml:space="preserve"> (utilisé dans la définition de </w:t>
      </w:r>
      <w:r w:rsidRPr="001F4E3B">
        <w:rPr>
          <w:i/>
          <w:iCs/>
          <w:lang w:val="fr-CA"/>
        </w:rPr>
        <w:t>défaillance grave de système fonctionnel</w:t>
      </w:r>
      <w:r w:rsidRPr="001F4E3B">
        <w:rPr>
          <w:lang w:val="fr-CA"/>
        </w:rPr>
        <w:t xml:space="preserve">), consulter le REGDOC-3.6, </w:t>
      </w:r>
      <w:r w:rsidRPr="001F4E3B">
        <w:rPr>
          <w:i/>
          <w:iCs/>
          <w:lang w:val="fr-CA"/>
        </w:rPr>
        <w:t>Glossaire de la CCSN</w:t>
      </w:r>
      <w:r w:rsidRPr="001F4E3B">
        <w:rPr>
          <w:lang w:val="fr-CA"/>
        </w:rPr>
        <w:t> [2</w:t>
      </w:r>
      <w:r w:rsidR="00A0465B">
        <w:rPr>
          <w:lang w:val="fr-CA"/>
        </w:rPr>
        <w:t>9</w:t>
      </w:r>
      <w:r w:rsidRPr="001F4E3B">
        <w:rPr>
          <w:lang w:val="fr-CA"/>
        </w:rPr>
        <w:t>].</w:t>
      </w:r>
    </w:p>
    <w:p w14:paraId="6631E88E" w14:textId="77777777" w:rsidR="00A45E6E" w:rsidRPr="001F4E3B" w:rsidRDefault="00A45E6E" w:rsidP="00A52E2A">
      <w:pPr>
        <w:rPr>
          <w:lang w:val="fr-CA"/>
        </w:rPr>
      </w:pPr>
    </w:p>
    <w:p w14:paraId="69F31BAE" w14:textId="77777777" w:rsidR="00E21DDD" w:rsidRPr="001F4E3B" w:rsidRDefault="00E21DDD" w:rsidP="002451E9">
      <w:pPr>
        <w:rPr>
          <w:lang w:val="fr-CA"/>
        </w:rPr>
        <w:sectPr w:rsidR="00E21DDD" w:rsidRPr="001F4E3B" w:rsidSect="00AC0D53">
          <w:headerReference w:type="even" r:id="rId40"/>
          <w:headerReference w:type="default" r:id="rId41"/>
          <w:footerReference w:type="default" r:id="rId42"/>
          <w:headerReference w:type="first" r:id="rId43"/>
          <w:pgSz w:w="12240" w:h="15840"/>
          <w:pgMar w:top="1440" w:right="1440" w:bottom="1440" w:left="1440" w:header="720" w:footer="720" w:gutter="0"/>
          <w:pgNumType w:start="1"/>
          <w:cols w:space="720"/>
          <w:docGrid w:linePitch="360"/>
        </w:sectPr>
      </w:pPr>
    </w:p>
    <w:p w14:paraId="3A3F1610" w14:textId="77777777" w:rsidR="00A52E2A" w:rsidRPr="00075FAE" w:rsidRDefault="00A52E2A" w:rsidP="00113A85">
      <w:pPr>
        <w:pStyle w:val="MainPageHeadingsTOC"/>
      </w:pPr>
      <w:bookmarkStart w:id="355" w:name="_Toc152766342"/>
      <w:r w:rsidRPr="00075FAE">
        <w:t>Glossaire</w:t>
      </w:r>
      <w:bookmarkEnd w:id="355"/>
    </w:p>
    <w:p w14:paraId="213E3DF4" w14:textId="77777777" w:rsidR="00A52E2A" w:rsidRPr="00E96362" w:rsidRDefault="00A52E2A" w:rsidP="00A52E2A">
      <w:pPr>
        <w:pStyle w:val="BodyTextNoIndent"/>
        <w:rPr>
          <w:lang w:val="fr-CA"/>
        </w:rPr>
      </w:pPr>
      <w:r w:rsidRPr="00E96362">
        <w:rPr>
          <w:lang w:val="fr-CA"/>
        </w:rPr>
        <w:t xml:space="preserve">Les définitions des termes utilisés dans le présent document figurent dans le </w:t>
      </w:r>
      <w:hyperlink r:id="rId44" w:history="1">
        <w:r w:rsidRPr="00E96362">
          <w:rPr>
            <w:rStyle w:val="Hyperlink"/>
            <w:lang w:val="fr-CA"/>
          </w:rPr>
          <w:t>REGDOC</w:t>
        </w:r>
        <w:r w:rsidRPr="00E96362">
          <w:rPr>
            <w:rStyle w:val="Hyperlink"/>
            <w:lang w:val="fr-CA"/>
          </w:rPr>
          <w:noBreakHyphen/>
          <w:t xml:space="preserve">3.6, </w:t>
        </w:r>
        <w:r w:rsidRPr="00E96362">
          <w:rPr>
            <w:rStyle w:val="Hyperlink"/>
            <w:i/>
            <w:iCs/>
            <w:lang w:val="fr-CA"/>
          </w:rPr>
          <w:t>Glossaire de la CCSN</w:t>
        </w:r>
      </w:hyperlink>
      <w:r w:rsidRPr="00E96362">
        <w:rPr>
          <w:lang w:val="fr-CA"/>
        </w:rPr>
        <w:t xml:space="preserve">, qui comprend des termes et des définitions tirés de la </w:t>
      </w:r>
      <w:hyperlink r:id="rId45" w:history="1">
        <w:r w:rsidRPr="00E96362">
          <w:rPr>
            <w:rStyle w:val="Hyperlink"/>
            <w:i/>
            <w:iCs/>
            <w:lang w:val="fr-CA"/>
          </w:rPr>
          <w:t>Loi sur la sûreté et la réglementation nucléaires</w:t>
        </w:r>
      </w:hyperlink>
      <w:r w:rsidRPr="00E96362">
        <w:rPr>
          <w:lang w:val="fr-CA"/>
        </w:rPr>
        <w:t>, de ses règlements d’application ainsi que des documents d’application de la réglementation et d’autres publications de la CCSN. Le REGDOC</w:t>
      </w:r>
      <w:r w:rsidRPr="00E96362">
        <w:rPr>
          <w:lang w:val="fr-CA"/>
        </w:rPr>
        <w:noBreakHyphen/>
        <w:t>3.6 est fourni à titre de référence et pour information.</w:t>
      </w:r>
    </w:p>
    <w:p w14:paraId="5EE9E78E" w14:textId="77777777" w:rsidR="00BC4451" w:rsidRPr="00E96362" w:rsidRDefault="00BC4451" w:rsidP="00424569">
      <w:pPr>
        <w:pStyle w:val="BodyTextNoIndent"/>
        <w:rPr>
          <w:lang w:val="fr-CA"/>
        </w:rPr>
      </w:pPr>
      <w:r w:rsidRPr="00E96362">
        <w:rPr>
          <w:lang w:val="fr-CA"/>
        </w:rPr>
        <w:t>Les termes suivants</w:t>
      </w:r>
      <w:r w:rsidR="00960420" w:rsidRPr="00E96362">
        <w:rPr>
          <w:lang w:val="fr-CA"/>
        </w:rPr>
        <w:t xml:space="preserve"> sont soit nouveaux, soit modifiés. À la suite de la consultation publique, la version définitive des termes et des définitions sera ajoutée à la prochaine version du REGDOC-3.6, </w:t>
      </w:r>
      <w:r w:rsidR="00960420" w:rsidRPr="00E96362">
        <w:rPr>
          <w:i/>
          <w:lang w:val="fr-CA"/>
        </w:rPr>
        <w:t>Glossaire de la CCSN</w:t>
      </w:r>
      <w:r w:rsidR="00960420" w:rsidRPr="00E96362">
        <w:rPr>
          <w:lang w:val="fr-CA"/>
        </w:rPr>
        <w:t>.</w:t>
      </w:r>
    </w:p>
    <w:p w14:paraId="7802C5C9" w14:textId="3D2A0F31" w:rsidR="0060423A" w:rsidRPr="0060423A" w:rsidRDefault="00B15663" w:rsidP="0060423A">
      <w:pPr>
        <w:pStyle w:val="GlossaryTerm"/>
        <w:rPr>
          <w:lang w:val="fr-CA"/>
        </w:rPr>
      </w:pPr>
      <w:r w:rsidRPr="0060423A">
        <w:rPr>
          <w:lang w:val="fr-CA"/>
        </w:rPr>
        <w:t>C</w:t>
      </w:r>
      <w:r w:rsidR="0060423A" w:rsidRPr="0060423A">
        <w:rPr>
          <w:lang w:val="fr-CA"/>
        </w:rPr>
        <w:t>omposant à position garantie (CPG)</w:t>
      </w:r>
      <w:r w:rsidR="0060423A" w:rsidRPr="0060423A">
        <w:rPr>
          <w:b w:val="0"/>
          <w:bCs/>
          <w:lang w:val="fr-CA"/>
        </w:rPr>
        <w:t xml:space="preserve"> [</w:t>
      </w:r>
      <w:r w:rsidR="0060423A" w:rsidRPr="0060423A">
        <w:rPr>
          <w:b w:val="0"/>
          <w:bCs/>
          <w:i/>
          <w:iCs/>
          <w:lang w:val="fr-CA"/>
        </w:rPr>
        <w:t>position assured component (PAC)</w:t>
      </w:r>
      <w:r w:rsidR="0060423A" w:rsidRPr="0060423A">
        <w:rPr>
          <w:b w:val="0"/>
          <w:bCs/>
          <w:lang w:val="fr-CA"/>
        </w:rPr>
        <w:t>]</w:t>
      </w:r>
    </w:p>
    <w:p w14:paraId="1D6AA91B" w14:textId="573C9594" w:rsidR="0060423A" w:rsidRPr="0060423A" w:rsidRDefault="0060423A" w:rsidP="0060423A">
      <w:pPr>
        <w:pStyle w:val="GlossaryDefinition"/>
        <w:rPr>
          <w:lang w:val="fr-CA"/>
        </w:rPr>
      </w:pPr>
      <w:r w:rsidRPr="00441DC1">
        <w:rPr>
          <w:lang w:val="fr-CA"/>
        </w:rPr>
        <w:t>Un composant dont le réglage (position) doit être vérifié parce que, d’une part, un réglage (position) incorrect pourrait ne pas être détecté facilement pendant l’exploitation de l’installation au moyen de la surveillance des procédés ou de l’application des procédures d’exploitation et, d’autre part, parce que l’utilisation du composant par inadvertance pourrait entraîner des conséquences indésirables. Mentionnons à titre d’exemples les vannes, les disjoncteurs et les interrupteurs à main dans la salle de commande.</w:t>
      </w:r>
    </w:p>
    <w:p w14:paraId="117F1721" w14:textId="12845F95" w:rsidR="00CC2DF8" w:rsidRPr="0060423A" w:rsidRDefault="00CC2DF8" w:rsidP="00CC2DF8">
      <w:pPr>
        <w:pStyle w:val="GlossaryTerm"/>
        <w:rPr>
          <w:lang w:val="fr-CA"/>
        </w:rPr>
      </w:pPr>
      <w:r>
        <w:rPr>
          <w:lang w:val="fr-CA"/>
        </w:rPr>
        <w:t>C</w:t>
      </w:r>
      <w:r w:rsidRPr="0060423A">
        <w:rPr>
          <w:lang w:val="fr-CA"/>
        </w:rPr>
        <w:t>P</w:t>
      </w:r>
      <w:r>
        <w:rPr>
          <w:lang w:val="fr-CA"/>
        </w:rPr>
        <w:t>G</w:t>
      </w:r>
      <w:r w:rsidRPr="0060423A">
        <w:rPr>
          <w:b w:val="0"/>
          <w:bCs/>
          <w:i/>
          <w:iCs/>
          <w:lang w:val="fr-CA"/>
        </w:rPr>
        <w:t xml:space="preserve"> </w:t>
      </w:r>
      <w:r w:rsidRPr="0060423A">
        <w:rPr>
          <w:b w:val="0"/>
          <w:bCs/>
          <w:lang w:val="fr-CA"/>
        </w:rPr>
        <w:t>[</w:t>
      </w:r>
      <w:r>
        <w:rPr>
          <w:b w:val="0"/>
          <w:bCs/>
          <w:i/>
          <w:iCs/>
          <w:lang w:val="fr-CA"/>
        </w:rPr>
        <w:t>PAC</w:t>
      </w:r>
      <w:r w:rsidRPr="0060423A">
        <w:rPr>
          <w:b w:val="0"/>
          <w:bCs/>
          <w:lang w:val="fr-CA"/>
        </w:rPr>
        <w:t>]</w:t>
      </w:r>
    </w:p>
    <w:p w14:paraId="53A70C60" w14:textId="796D9B40" w:rsidR="00CC2DF8" w:rsidRPr="0060423A" w:rsidRDefault="00CC2DF8" w:rsidP="00CC2DF8">
      <w:pPr>
        <w:pStyle w:val="GlossaryDefinition"/>
        <w:rPr>
          <w:lang w:val="fr-CA"/>
        </w:rPr>
      </w:pPr>
      <w:r w:rsidRPr="00223C6B">
        <w:rPr>
          <w:lang w:val="fr-CA"/>
        </w:rPr>
        <w:t xml:space="preserve">Voir </w:t>
      </w:r>
      <w:r w:rsidRPr="00CC2DF8">
        <w:rPr>
          <w:lang w:val="fr-CA"/>
        </w:rPr>
        <w:t>composant à position garantie</w:t>
      </w:r>
      <w:r w:rsidRPr="00223C6B">
        <w:rPr>
          <w:lang w:val="fr-CA"/>
        </w:rPr>
        <w:t>.</w:t>
      </w:r>
    </w:p>
    <w:p w14:paraId="3B5C6395" w14:textId="355E334D" w:rsidR="00F538B1" w:rsidRPr="00E72DE0" w:rsidRDefault="00B15663" w:rsidP="00F538B1">
      <w:pPr>
        <w:pStyle w:val="RDGlossaryTerm"/>
        <w:rPr>
          <w:b w:val="0"/>
          <w:iCs/>
          <w:lang w:val="fr-FR"/>
        </w:rPr>
      </w:pPr>
      <w:r w:rsidRPr="002B2C5E">
        <w:rPr>
          <w:lang w:val="fr-FR"/>
        </w:rPr>
        <w:t>D</w:t>
      </w:r>
      <w:r w:rsidR="00F538B1" w:rsidRPr="002B2C5E">
        <w:rPr>
          <w:lang w:val="fr-FR"/>
        </w:rPr>
        <w:t>éfaillance grave de système fonctionnel</w:t>
      </w:r>
      <w:r w:rsidR="00F538B1" w:rsidRPr="0005308C">
        <w:rPr>
          <w:lang w:val="fr-FR"/>
        </w:rPr>
        <w:t xml:space="preserve"> </w:t>
      </w:r>
      <w:r w:rsidR="00F538B1" w:rsidRPr="005B1F4B">
        <w:rPr>
          <w:b w:val="0"/>
          <w:i/>
          <w:lang w:val="fr-FR"/>
        </w:rPr>
        <w:t>(</w:t>
      </w:r>
      <w:r w:rsidR="00F538B1" w:rsidRPr="005D3D58">
        <w:rPr>
          <w:b w:val="0"/>
          <w:i/>
          <w:lang w:val="fr-FR"/>
        </w:rPr>
        <w:t>serious process failure</w:t>
      </w:r>
      <w:r w:rsidR="00F538B1" w:rsidRPr="005B1F4B">
        <w:rPr>
          <w:b w:val="0"/>
          <w:i/>
          <w:lang w:val="fr-FR"/>
        </w:rPr>
        <w:t>)</w:t>
      </w:r>
      <w:r w:rsidR="00E72DE0" w:rsidRPr="00E72DE0">
        <w:rPr>
          <w:b w:val="0"/>
          <w:iCs/>
          <w:lang w:val="fr-FR"/>
        </w:rPr>
        <w:t xml:space="preserve"> </w:t>
      </w:r>
      <w:r w:rsidR="00E72DE0" w:rsidRPr="00E72DE0">
        <w:rPr>
          <w:b w:val="0"/>
          <w:iCs/>
          <w:lang w:val="fr-CA"/>
        </w:rPr>
        <w:t>[</w:t>
      </w:r>
      <w:r w:rsidR="001F4E3B" w:rsidRPr="001F4E3B">
        <w:rPr>
          <w:b w:val="0"/>
          <w:iCs/>
          <w:lang w:val="fr-CA"/>
        </w:rPr>
        <w:t>la nouvelle définition remplace l’ancienne</w:t>
      </w:r>
      <w:r w:rsidR="00E72DE0" w:rsidRPr="00E72DE0">
        <w:rPr>
          <w:b w:val="0"/>
          <w:iCs/>
          <w:lang w:val="fr-CA"/>
        </w:rPr>
        <w:t>]</w:t>
      </w:r>
    </w:p>
    <w:p w14:paraId="5DC94404" w14:textId="7FFB5D6E" w:rsidR="00E72DE0" w:rsidRPr="00595B17" w:rsidRDefault="00E72DE0" w:rsidP="00F538B1">
      <w:pPr>
        <w:pStyle w:val="RDGlossaryDefinition"/>
        <w:rPr>
          <w:noProof/>
          <w:lang w:val="fr-CA"/>
        </w:rPr>
      </w:pPr>
      <w:r w:rsidRPr="00BF572C">
        <w:rPr>
          <w:lang w:val="fr-CA"/>
        </w:rPr>
        <w:t xml:space="preserve">Dans le </w:t>
      </w:r>
      <w:r w:rsidRPr="001F4E3B">
        <w:rPr>
          <w:lang w:val="fr-CA"/>
        </w:rPr>
        <w:t xml:space="preserve">contexte des installations nucléaire CANDU, une défaillance </w:t>
      </w:r>
      <w:r w:rsidRPr="001F4E3B">
        <w:rPr>
          <w:lang w:val="fr-FR"/>
        </w:rPr>
        <w:t xml:space="preserve">entraînant </w:t>
      </w:r>
      <w:r w:rsidR="00B801FF">
        <w:rPr>
          <w:lang w:val="fr-FR"/>
        </w:rPr>
        <w:t xml:space="preserve">au dommage </w:t>
      </w:r>
      <w:r w:rsidR="001F4E3B" w:rsidRPr="001F4E3B">
        <w:rPr>
          <w:lang w:val="fr-FR"/>
        </w:rPr>
        <w:t>important</w:t>
      </w:r>
      <w:r w:rsidR="00B801FF">
        <w:rPr>
          <w:lang w:val="fr-FR"/>
        </w:rPr>
        <w:t xml:space="preserve"> au </w:t>
      </w:r>
      <w:r w:rsidRPr="001F4E3B">
        <w:rPr>
          <w:lang w:val="fr-FR"/>
        </w:rPr>
        <w:t xml:space="preserve">combustible ou </w:t>
      </w:r>
      <w:r w:rsidR="00B801FF">
        <w:rPr>
          <w:lang w:val="fr-FR"/>
        </w:rPr>
        <w:t xml:space="preserve">à </w:t>
      </w:r>
      <w:r w:rsidRPr="001F4E3B">
        <w:rPr>
          <w:lang w:val="fr-FR"/>
        </w:rPr>
        <w:t>un rejet important</w:t>
      </w:r>
      <w:r w:rsidRPr="001F4E3B">
        <w:rPr>
          <w:lang w:val="fr-CA"/>
        </w:rPr>
        <w:t xml:space="preserve"> de l’installation nucléaire ou qui pourrait entraîner </w:t>
      </w:r>
      <w:r w:rsidR="00B801FF">
        <w:rPr>
          <w:lang w:val="fr-FR"/>
        </w:rPr>
        <w:t xml:space="preserve">au dommage </w:t>
      </w:r>
      <w:r w:rsidR="001F4E3B" w:rsidRPr="001F4E3B">
        <w:rPr>
          <w:lang w:val="fr-FR"/>
        </w:rPr>
        <w:t>important</w:t>
      </w:r>
      <w:r w:rsidR="00B801FF">
        <w:rPr>
          <w:lang w:val="fr-FR"/>
        </w:rPr>
        <w:t xml:space="preserve"> au</w:t>
      </w:r>
      <w:r w:rsidR="001F4E3B" w:rsidRPr="001F4E3B">
        <w:rPr>
          <w:lang w:val="fr-FR"/>
        </w:rPr>
        <w:t xml:space="preserve"> </w:t>
      </w:r>
      <w:r w:rsidRPr="001F4E3B">
        <w:rPr>
          <w:lang w:val="fr-FR"/>
        </w:rPr>
        <w:t>combustible</w:t>
      </w:r>
      <w:r w:rsidRPr="009B6ACE">
        <w:rPr>
          <w:lang w:val="fr-FR"/>
        </w:rPr>
        <w:t xml:space="preserve"> ou </w:t>
      </w:r>
      <w:r w:rsidR="00B801FF">
        <w:rPr>
          <w:lang w:val="fr-FR"/>
        </w:rPr>
        <w:t xml:space="preserve">à </w:t>
      </w:r>
      <w:r w:rsidRPr="009B6ACE">
        <w:rPr>
          <w:lang w:val="fr-FR"/>
        </w:rPr>
        <w:t>un rejet important</w:t>
      </w:r>
      <w:r w:rsidRPr="009B6ACE">
        <w:rPr>
          <w:lang w:val="fr-CA"/>
        </w:rPr>
        <w:t xml:space="preserve"> de l</w:t>
      </w:r>
      <w:r>
        <w:rPr>
          <w:lang w:val="fr-CA"/>
        </w:rPr>
        <w:t>’installation nucléaire</w:t>
      </w:r>
      <w:r w:rsidRPr="009B6ACE">
        <w:rPr>
          <w:lang w:val="fr-CA"/>
        </w:rPr>
        <w:t xml:space="preserve"> si aucun système </w:t>
      </w:r>
      <w:r w:rsidR="00B801FF">
        <w:rPr>
          <w:lang w:val="fr-CA"/>
        </w:rPr>
        <w:t xml:space="preserve">spécial </w:t>
      </w:r>
      <w:r w:rsidRPr="009B6ACE">
        <w:rPr>
          <w:lang w:val="fr-CA"/>
        </w:rPr>
        <w:t>de sûreté n’intervient</w:t>
      </w:r>
      <w:r w:rsidRPr="00704B1F">
        <w:rPr>
          <w:lang w:val="fr-CA"/>
        </w:rPr>
        <w:t>.</w:t>
      </w:r>
      <w:r w:rsidR="00F538B1" w:rsidRPr="00E72DE0">
        <w:rPr>
          <w:strike/>
          <w:lang w:val="fr-CA"/>
        </w:rPr>
        <w:t xml:space="preserve">Dans le contexte des rapports à soumettre pour les centrales nucléaires CANDU, une défaillance d’un processus d’une structure, d’un système ou d’un composant </w:t>
      </w:r>
      <w:r w:rsidR="00F538B1" w:rsidRPr="00E72DE0">
        <w:rPr>
          <w:strike/>
          <w:lang w:val="fr-FR"/>
        </w:rPr>
        <w:t>entraînant une défaillance systématique de combustible ou un rejet important</w:t>
      </w:r>
      <w:r w:rsidR="00F538B1" w:rsidRPr="00E72DE0">
        <w:rPr>
          <w:strike/>
          <w:lang w:val="fr-CA"/>
        </w:rPr>
        <w:t xml:space="preserve"> de la centrale ou qui pourrait entraîner </w:t>
      </w:r>
      <w:r w:rsidR="00F538B1" w:rsidRPr="00E72DE0">
        <w:rPr>
          <w:strike/>
          <w:lang w:val="fr-FR"/>
        </w:rPr>
        <w:t>une défaillance systématique de combustible ou un rejet important</w:t>
      </w:r>
      <w:r w:rsidR="00F538B1" w:rsidRPr="00E72DE0">
        <w:rPr>
          <w:strike/>
          <w:lang w:val="fr-CA"/>
        </w:rPr>
        <w:t xml:space="preserve"> de la centrale si aucun système de sûreté spécial n’intervient.</w:t>
      </w:r>
    </w:p>
    <w:p w14:paraId="5D2B72F8" w14:textId="7E91DAD0" w:rsidR="001F4E3B" w:rsidRPr="007B380D" w:rsidRDefault="001F4E3B" w:rsidP="001F4E3B">
      <w:pPr>
        <w:pStyle w:val="RDGlossaryTerm"/>
        <w:rPr>
          <w:b w:val="0"/>
          <w:lang w:val="fr-FR"/>
        </w:rPr>
      </w:pPr>
      <w:r w:rsidRPr="00B65C82">
        <w:rPr>
          <w:lang w:val="fr-FR"/>
        </w:rPr>
        <w:t>d</w:t>
      </w:r>
      <w:r w:rsidR="00B801FF">
        <w:rPr>
          <w:lang w:val="fr-FR"/>
        </w:rPr>
        <w:t>ommage</w:t>
      </w:r>
      <w:r w:rsidRPr="00B65C82">
        <w:rPr>
          <w:lang w:val="fr-FR"/>
        </w:rPr>
        <w:t xml:space="preserve"> </w:t>
      </w:r>
      <w:r w:rsidRPr="001F4E3B">
        <w:rPr>
          <w:lang w:val="fr-FR"/>
        </w:rPr>
        <w:t>important</w:t>
      </w:r>
      <w:r w:rsidR="00B801FF">
        <w:rPr>
          <w:lang w:val="fr-FR"/>
        </w:rPr>
        <w:t xml:space="preserve"> au</w:t>
      </w:r>
      <w:r w:rsidRPr="00B65C82">
        <w:rPr>
          <w:lang w:val="fr-FR"/>
        </w:rPr>
        <w:t xml:space="preserve"> combustible</w:t>
      </w:r>
      <w:r w:rsidRPr="00E07806">
        <w:rPr>
          <w:szCs w:val="22"/>
          <w:lang w:val="fr-FR"/>
        </w:rPr>
        <w:t xml:space="preserve"> </w:t>
      </w:r>
      <w:r w:rsidRPr="000873B2">
        <w:rPr>
          <w:b w:val="0"/>
          <w:i/>
          <w:lang w:val="fr-FR"/>
        </w:rPr>
        <w:t>(</w:t>
      </w:r>
      <w:r>
        <w:rPr>
          <w:b w:val="0"/>
          <w:i/>
          <w:szCs w:val="22"/>
          <w:lang w:val="fr-FR"/>
        </w:rPr>
        <w:t>significant</w:t>
      </w:r>
      <w:r w:rsidRPr="00095CEA">
        <w:rPr>
          <w:b w:val="0"/>
          <w:i/>
          <w:szCs w:val="22"/>
          <w:lang w:val="fr-FR"/>
        </w:rPr>
        <w:t xml:space="preserve"> fuel </w:t>
      </w:r>
      <w:r w:rsidR="00B801FF">
        <w:rPr>
          <w:b w:val="0"/>
          <w:i/>
          <w:szCs w:val="22"/>
          <w:lang w:val="fr-FR"/>
        </w:rPr>
        <w:t>damage</w:t>
      </w:r>
      <w:r w:rsidRPr="007B380D">
        <w:rPr>
          <w:b w:val="0"/>
          <w:i/>
          <w:lang w:val="fr-FR"/>
        </w:rPr>
        <w:t>)</w:t>
      </w:r>
    </w:p>
    <w:p w14:paraId="66E67FEA" w14:textId="2BE1BECA" w:rsidR="001F4E3B" w:rsidRPr="001F4E3B" w:rsidRDefault="001F4E3B" w:rsidP="001F4E3B">
      <w:pPr>
        <w:pStyle w:val="RDGlossaryDefinition"/>
        <w:rPr>
          <w:szCs w:val="22"/>
          <w:lang w:val="fr-CA"/>
        </w:rPr>
      </w:pPr>
      <w:r w:rsidRPr="001F4E3B">
        <w:rPr>
          <w:szCs w:val="22"/>
          <w:lang w:val="fr-CA"/>
        </w:rPr>
        <w:t>D</w:t>
      </w:r>
      <w:r w:rsidR="00B801FF">
        <w:rPr>
          <w:szCs w:val="22"/>
          <w:lang w:val="fr-CA"/>
        </w:rPr>
        <w:t>ommage au</w:t>
      </w:r>
      <w:r w:rsidRPr="001F4E3B">
        <w:rPr>
          <w:szCs w:val="22"/>
          <w:lang w:val="fr-CA"/>
        </w:rPr>
        <w:t xml:space="preserve"> combustible causée par un événement ou une situation au cours de laquelle plus de un pour cent (&gt; 1 %) du combustible ne respecte pas ses limites d’aptitude fonctionnelle.</w:t>
      </w:r>
    </w:p>
    <w:p w14:paraId="345730D5" w14:textId="119BFC22" w:rsidR="000E2F28" w:rsidRPr="00E72DE0" w:rsidRDefault="00B15663" w:rsidP="000E2F28">
      <w:pPr>
        <w:pStyle w:val="RDGlossaryTerm"/>
        <w:rPr>
          <w:b w:val="0"/>
          <w:strike/>
          <w:lang w:val="fr-FR"/>
        </w:rPr>
      </w:pPr>
      <w:r w:rsidRPr="00E72DE0">
        <w:rPr>
          <w:strike/>
          <w:lang w:val="fr-FR"/>
        </w:rPr>
        <w:t>D</w:t>
      </w:r>
      <w:r w:rsidR="000E2F28" w:rsidRPr="00E72DE0">
        <w:rPr>
          <w:strike/>
          <w:lang w:val="fr-FR"/>
        </w:rPr>
        <w:t>éfaillance systématique du combustible</w:t>
      </w:r>
      <w:r w:rsidR="000E2F28" w:rsidRPr="00E72DE0">
        <w:rPr>
          <w:strike/>
          <w:szCs w:val="22"/>
          <w:lang w:val="fr-FR"/>
        </w:rPr>
        <w:t xml:space="preserve"> </w:t>
      </w:r>
      <w:r w:rsidR="000E2F28" w:rsidRPr="00E72DE0">
        <w:rPr>
          <w:b w:val="0"/>
          <w:i/>
          <w:strike/>
          <w:lang w:val="fr-FR"/>
        </w:rPr>
        <w:t>(</w:t>
      </w:r>
      <w:r w:rsidR="000E2F28" w:rsidRPr="00E72DE0">
        <w:rPr>
          <w:b w:val="0"/>
          <w:i/>
          <w:strike/>
          <w:szCs w:val="22"/>
          <w:lang w:val="fr-FR"/>
        </w:rPr>
        <w:t>systematic fuel failure</w:t>
      </w:r>
      <w:r w:rsidR="000E2F28" w:rsidRPr="00E72DE0">
        <w:rPr>
          <w:b w:val="0"/>
          <w:i/>
          <w:strike/>
          <w:lang w:val="fr-FR"/>
        </w:rPr>
        <w:t>)</w:t>
      </w:r>
    </w:p>
    <w:p w14:paraId="0FF9343F" w14:textId="3C5F4B76" w:rsidR="000E2F28" w:rsidRPr="00595B17" w:rsidRDefault="000E2F28" w:rsidP="000E2F28">
      <w:pPr>
        <w:pStyle w:val="RDGlossaryDefinition"/>
        <w:rPr>
          <w:szCs w:val="22"/>
          <w:lang w:val="fr-CA"/>
        </w:rPr>
      </w:pPr>
      <w:r w:rsidRPr="00E72DE0">
        <w:rPr>
          <w:strike/>
          <w:noProof/>
          <w:szCs w:val="22"/>
          <w:lang w:val="fr-FR"/>
        </w:rPr>
        <w:t>Combustible sans défaut avant un événement donné qui, par suite de l’événement, subit une défaillance ou dépasse les critères d’intégrité du combustible définis dans les documents contrôlés ou les documents de permis</w:t>
      </w:r>
      <w:r w:rsidRPr="00E72DE0">
        <w:rPr>
          <w:strike/>
          <w:szCs w:val="22"/>
          <w:lang w:val="fr-CA"/>
        </w:rPr>
        <w:t>.</w:t>
      </w:r>
    </w:p>
    <w:p w14:paraId="1A66F3E5" w14:textId="17AB9646" w:rsidR="003F6D61" w:rsidRPr="0060423A" w:rsidRDefault="00B15663" w:rsidP="003F6D61">
      <w:pPr>
        <w:pStyle w:val="GlossaryTerm"/>
        <w:rPr>
          <w:lang w:val="fr-CA"/>
        </w:rPr>
      </w:pPr>
      <w:r w:rsidRPr="0060423A">
        <w:rPr>
          <w:lang w:val="fr-CA"/>
        </w:rPr>
        <w:t>E</w:t>
      </w:r>
      <w:r w:rsidR="0060423A" w:rsidRPr="0060423A">
        <w:rPr>
          <w:lang w:val="fr-CA"/>
        </w:rPr>
        <w:t>ssais et développements peu fréquents (EDPF)</w:t>
      </w:r>
      <w:r w:rsidR="003F6D61" w:rsidRPr="0060423A">
        <w:rPr>
          <w:b w:val="0"/>
          <w:bCs/>
          <w:i/>
          <w:iCs/>
          <w:lang w:val="fr-CA"/>
        </w:rPr>
        <w:t xml:space="preserve"> </w:t>
      </w:r>
      <w:r w:rsidR="003F6D61" w:rsidRPr="0060423A">
        <w:rPr>
          <w:b w:val="0"/>
          <w:bCs/>
          <w:lang w:val="fr-CA"/>
        </w:rPr>
        <w:t>[</w:t>
      </w:r>
      <w:r w:rsidR="003F6D61" w:rsidRPr="0060423A">
        <w:rPr>
          <w:b w:val="0"/>
          <w:bCs/>
          <w:i/>
          <w:iCs/>
          <w:lang w:val="fr-CA"/>
        </w:rPr>
        <w:t>infrequently performed test or evolution (IPTE)</w:t>
      </w:r>
      <w:r w:rsidR="003F6D61" w:rsidRPr="0060423A">
        <w:rPr>
          <w:b w:val="0"/>
          <w:bCs/>
          <w:lang w:val="fr-CA"/>
        </w:rPr>
        <w:t>]</w:t>
      </w:r>
    </w:p>
    <w:p w14:paraId="02BBCBA0" w14:textId="1D3F3120" w:rsidR="003F6D61" w:rsidRPr="0060423A" w:rsidRDefault="0060423A" w:rsidP="003F6D61">
      <w:pPr>
        <w:pStyle w:val="GlossaryDefinition"/>
        <w:rPr>
          <w:lang w:val="fr-CA"/>
        </w:rPr>
      </w:pPr>
      <w:r w:rsidRPr="00223C6B">
        <w:rPr>
          <w:lang w:val="fr-CA"/>
        </w:rPr>
        <w:t>Les mesures appliquées avant d’entreprendre une activité planifiée qui n’est pas réalisée couramment. Il peut notamment s’agir de développements complexes comme l’échauffement de l’installation, le démarrage/</w:t>
      </w:r>
      <w:r>
        <w:rPr>
          <w:lang w:val="fr-CA"/>
        </w:rPr>
        <w:t>l’</w:t>
      </w:r>
      <w:r w:rsidRPr="00223C6B">
        <w:rPr>
          <w:lang w:val="fr-CA"/>
        </w:rPr>
        <w:t>arrêt, les essais physiques, le refroidissement et le rechargement de combustible.</w:t>
      </w:r>
    </w:p>
    <w:p w14:paraId="10BC3AF8" w14:textId="75091B0C" w:rsidR="003F6D61" w:rsidRPr="0060423A" w:rsidRDefault="0060423A" w:rsidP="003F6D61">
      <w:pPr>
        <w:pStyle w:val="GlossaryTerm"/>
        <w:rPr>
          <w:lang w:val="fr-CA"/>
        </w:rPr>
      </w:pPr>
      <w:r w:rsidRPr="0060423A">
        <w:rPr>
          <w:lang w:val="fr-CA"/>
        </w:rPr>
        <w:t>EDPF</w:t>
      </w:r>
      <w:r w:rsidR="003F6D61" w:rsidRPr="0060423A">
        <w:rPr>
          <w:b w:val="0"/>
          <w:bCs/>
          <w:i/>
          <w:iCs/>
          <w:lang w:val="fr-CA"/>
        </w:rPr>
        <w:t xml:space="preserve"> </w:t>
      </w:r>
      <w:r w:rsidR="003F6D61" w:rsidRPr="0060423A">
        <w:rPr>
          <w:b w:val="0"/>
          <w:bCs/>
          <w:lang w:val="fr-CA"/>
        </w:rPr>
        <w:t>[</w:t>
      </w:r>
      <w:r w:rsidR="003F6D61" w:rsidRPr="0060423A">
        <w:rPr>
          <w:b w:val="0"/>
          <w:bCs/>
          <w:i/>
          <w:iCs/>
          <w:lang w:val="fr-CA"/>
        </w:rPr>
        <w:t>IPTE</w:t>
      </w:r>
      <w:r w:rsidR="003F6D61" w:rsidRPr="0060423A">
        <w:rPr>
          <w:b w:val="0"/>
          <w:bCs/>
          <w:lang w:val="fr-CA"/>
        </w:rPr>
        <w:t>]</w:t>
      </w:r>
    </w:p>
    <w:p w14:paraId="2876219F" w14:textId="1E8EAC2F" w:rsidR="003F6D61" w:rsidRPr="0060423A" w:rsidRDefault="0060423A" w:rsidP="003F6D61">
      <w:pPr>
        <w:pStyle w:val="GlossaryDefinition"/>
        <w:rPr>
          <w:lang w:val="fr-CA"/>
        </w:rPr>
      </w:pPr>
      <w:r w:rsidRPr="00223C6B">
        <w:rPr>
          <w:lang w:val="fr-CA"/>
        </w:rPr>
        <w:t>Voir essais et développements peu fréquents.</w:t>
      </w:r>
    </w:p>
    <w:p w14:paraId="130554C0" w14:textId="126EFDBB" w:rsidR="003F6D61" w:rsidRPr="0060423A" w:rsidRDefault="00B15663" w:rsidP="003F6D61">
      <w:pPr>
        <w:pStyle w:val="GlossaryTerm"/>
        <w:rPr>
          <w:lang w:val="fr-CA"/>
        </w:rPr>
      </w:pPr>
      <w:bookmarkStart w:id="356" w:name="_Hlk141304777"/>
      <w:r w:rsidRPr="0060423A">
        <w:rPr>
          <w:lang w:val="fr-CA"/>
        </w:rPr>
        <w:t>G</w:t>
      </w:r>
      <w:r w:rsidR="0060423A" w:rsidRPr="0060423A">
        <w:rPr>
          <w:lang w:val="fr-CA"/>
        </w:rPr>
        <w:t>arantie d’arrêt du réacteur</w:t>
      </w:r>
      <w:bookmarkEnd w:id="356"/>
      <w:r w:rsidR="00CC2DF8">
        <w:rPr>
          <w:lang w:val="fr-CA"/>
        </w:rPr>
        <w:t xml:space="preserve"> (GAR)</w:t>
      </w:r>
      <w:r w:rsidR="0060423A" w:rsidRPr="0060423A">
        <w:rPr>
          <w:b w:val="0"/>
          <w:bCs/>
          <w:lang w:val="fr-CA"/>
        </w:rPr>
        <w:t xml:space="preserve"> </w:t>
      </w:r>
      <w:r w:rsidR="003F6D61" w:rsidRPr="0060423A">
        <w:rPr>
          <w:b w:val="0"/>
          <w:bCs/>
          <w:lang w:val="fr-CA"/>
        </w:rPr>
        <w:t>[</w:t>
      </w:r>
      <w:r w:rsidR="003F6D61" w:rsidRPr="0060423A">
        <w:rPr>
          <w:b w:val="0"/>
          <w:bCs/>
          <w:i/>
          <w:iCs/>
          <w:lang w:val="fr-CA"/>
        </w:rPr>
        <w:t>reactor shutdown guarantee</w:t>
      </w:r>
      <w:r w:rsidR="00CC2DF8">
        <w:rPr>
          <w:b w:val="0"/>
          <w:bCs/>
          <w:i/>
          <w:iCs/>
          <w:lang w:val="fr-CA"/>
        </w:rPr>
        <w:t xml:space="preserve"> (RSG)</w:t>
      </w:r>
      <w:r w:rsidR="003F6D61" w:rsidRPr="0060423A">
        <w:rPr>
          <w:b w:val="0"/>
          <w:bCs/>
          <w:lang w:val="fr-CA"/>
        </w:rPr>
        <w:t>]</w:t>
      </w:r>
    </w:p>
    <w:p w14:paraId="4E911607" w14:textId="78069D7D" w:rsidR="003F6D61" w:rsidRPr="0060423A" w:rsidRDefault="0060423A" w:rsidP="003F6D61">
      <w:pPr>
        <w:pStyle w:val="GlossaryDefinition"/>
        <w:rPr>
          <w:lang w:val="fr-CA"/>
        </w:rPr>
      </w:pPr>
      <w:r w:rsidRPr="00223C6B">
        <w:rPr>
          <w:lang w:val="fr-CA"/>
        </w:rPr>
        <w:t>Des mesures administratives qui sont en place pour prévenir un retrait net de la réactivité négative en cas de défaillance d’un système fonctionnel au cours d’un état d’arrêt garanti. Voir aussi état d’arrêt garanti.</w:t>
      </w:r>
    </w:p>
    <w:p w14:paraId="033F3720" w14:textId="5E69948F" w:rsidR="003F6D61" w:rsidRPr="0060423A" w:rsidRDefault="0060423A" w:rsidP="003F6D61">
      <w:pPr>
        <w:pStyle w:val="GlossaryTerm"/>
        <w:rPr>
          <w:lang w:val="fr-CA"/>
        </w:rPr>
      </w:pPr>
      <w:r w:rsidRPr="0060423A">
        <w:rPr>
          <w:lang w:val="fr-CA"/>
        </w:rPr>
        <w:t>GAR</w:t>
      </w:r>
      <w:r w:rsidRPr="0060423A">
        <w:rPr>
          <w:b w:val="0"/>
          <w:bCs/>
          <w:lang w:val="fr-CA"/>
        </w:rPr>
        <w:t xml:space="preserve"> </w:t>
      </w:r>
      <w:r w:rsidR="003F6D61" w:rsidRPr="0060423A">
        <w:rPr>
          <w:b w:val="0"/>
          <w:bCs/>
          <w:lang w:val="fr-CA"/>
        </w:rPr>
        <w:t>[</w:t>
      </w:r>
      <w:r w:rsidR="003F6D61" w:rsidRPr="0060423A">
        <w:rPr>
          <w:b w:val="0"/>
          <w:bCs/>
          <w:i/>
          <w:iCs/>
          <w:lang w:val="fr-CA"/>
        </w:rPr>
        <w:t>RSG</w:t>
      </w:r>
      <w:r w:rsidR="003F6D61" w:rsidRPr="0060423A">
        <w:rPr>
          <w:b w:val="0"/>
          <w:bCs/>
          <w:lang w:val="fr-CA"/>
        </w:rPr>
        <w:t>]</w:t>
      </w:r>
    </w:p>
    <w:p w14:paraId="37A95769" w14:textId="155B7F81" w:rsidR="003F6D61" w:rsidRPr="0060423A" w:rsidRDefault="0060423A" w:rsidP="003F6D61">
      <w:pPr>
        <w:pStyle w:val="GlossaryDefinition"/>
        <w:rPr>
          <w:lang w:val="fr-CA"/>
        </w:rPr>
      </w:pPr>
      <w:r w:rsidRPr="00223C6B">
        <w:rPr>
          <w:lang w:val="fr-CA"/>
        </w:rPr>
        <w:t>Voir garantie d’arrêt du réacteur.</w:t>
      </w:r>
    </w:p>
    <w:p w14:paraId="06D6C96C" w14:textId="77777777" w:rsidR="00A52E2A" w:rsidRPr="0060423A" w:rsidRDefault="00A52E2A" w:rsidP="00A52E2A">
      <w:pPr>
        <w:pStyle w:val="BodyTextNoIndent"/>
        <w:rPr>
          <w:lang w:val="fr-CA"/>
        </w:rPr>
      </w:pPr>
      <w:r w:rsidRPr="0060423A">
        <w:rPr>
          <w:lang w:val="fr-CA"/>
        </w:rPr>
        <w:br w:type="page"/>
      </w:r>
    </w:p>
    <w:p w14:paraId="78F9FA97" w14:textId="77777777" w:rsidR="00A52E2A" w:rsidRPr="00F41C31" w:rsidRDefault="00A52E2A" w:rsidP="00113A85">
      <w:pPr>
        <w:pStyle w:val="MainPageHeadingsTOC"/>
      </w:pPr>
      <w:bookmarkStart w:id="357" w:name="_Toc152766343"/>
      <w:r w:rsidRPr="00F41C31">
        <w:t>Références</w:t>
      </w:r>
      <w:bookmarkEnd w:id="357"/>
    </w:p>
    <w:p w14:paraId="61D79D53" w14:textId="2A59017B" w:rsidR="009969CC" w:rsidRPr="0060423A" w:rsidRDefault="009969CC" w:rsidP="00AF3C02">
      <w:pPr>
        <w:pStyle w:val="BodyTextNoIndent"/>
        <w:rPr>
          <w:lang w:val="fr-CA"/>
        </w:rPr>
      </w:pPr>
      <w:r w:rsidRPr="0060423A">
        <w:rPr>
          <w:lang w:val="fr-CA"/>
        </w:rPr>
        <w:t>La CCSN pourrait inclure des références à de</w:t>
      </w:r>
      <w:r w:rsidR="00D73813" w:rsidRPr="0060423A">
        <w:rPr>
          <w:lang w:val="fr-CA"/>
        </w:rPr>
        <w:t>s documents</w:t>
      </w:r>
      <w:r w:rsidRPr="0060423A">
        <w:rPr>
          <w:lang w:val="fr-CA"/>
        </w:rPr>
        <w:t xml:space="preserve"> sur les pratiques exemplaires et les normes, comme celles publiées par le Groupe CSA. Avec la permission du Groupe CSA, qui en est l’éditeur, toutes les normes de la CSA associées au nucléaire peuvent être </w:t>
      </w:r>
      <w:r w:rsidR="002505B7" w:rsidRPr="0060423A">
        <w:rPr>
          <w:lang w:val="fr-CA"/>
        </w:rPr>
        <w:t xml:space="preserve">consultées </w:t>
      </w:r>
      <w:r w:rsidRPr="0060423A">
        <w:rPr>
          <w:lang w:val="fr-CA"/>
        </w:rPr>
        <w:t xml:space="preserve">gratuitement </w:t>
      </w:r>
      <w:r w:rsidR="002505B7" w:rsidRPr="0060423A">
        <w:rPr>
          <w:lang w:val="fr-CA"/>
        </w:rPr>
        <w:t>à partir</w:t>
      </w:r>
      <w:r w:rsidRPr="0060423A">
        <w:rPr>
          <w:lang w:val="fr-CA"/>
        </w:rPr>
        <w:t xml:space="preserve"> de la page Web de la CCSN « </w:t>
      </w:r>
      <w:hyperlink r:id="rId46" w:history="1">
        <w:r w:rsidRPr="0060423A">
          <w:rPr>
            <w:rStyle w:val="Hyperlink"/>
            <w:lang w:val="fr-CA"/>
          </w:rPr>
          <w:t>Comment obtenir un accès gratuit à l’ensemble des normes de la CSA associées au nucléaire</w:t>
        </w:r>
      </w:hyperlink>
      <w:r w:rsidRPr="0060423A">
        <w:rPr>
          <w:lang w:val="fr-CA"/>
        </w:rPr>
        <w:t> ».</w:t>
      </w:r>
    </w:p>
    <w:p w14:paraId="1862394C" w14:textId="77777777" w:rsidR="0060423A" w:rsidRPr="00223C6B" w:rsidRDefault="0060423A" w:rsidP="0060423A">
      <w:pPr>
        <w:pStyle w:val="ListParagraph"/>
        <w:numPr>
          <w:ilvl w:val="0"/>
          <w:numId w:val="35"/>
        </w:numPr>
        <w:contextualSpacing w:val="0"/>
        <w:rPr>
          <w:lang w:val="fr-CA"/>
        </w:rPr>
      </w:pPr>
      <w:r w:rsidRPr="00223C6B">
        <w:rPr>
          <w:lang w:val="fr-CA"/>
        </w:rPr>
        <w:t>Commission canadienne de sûreté nucléaire (CCSN)</w:t>
      </w:r>
      <w:r>
        <w:rPr>
          <w:lang w:val="fr-CA"/>
        </w:rPr>
        <w:t>.</w:t>
      </w:r>
      <w:r w:rsidRPr="00223C6B">
        <w:rPr>
          <w:lang w:val="fr-CA"/>
        </w:rPr>
        <w:t xml:space="preserve"> REGDOC</w:t>
      </w:r>
      <w:r w:rsidRPr="00223C6B">
        <w:rPr>
          <w:lang w:val="fr-CA"/>
        </w:rPr>
        <w:noBreakHyphen/>
        <w:t xml:space="preserve">1.1.5, </w:t>
      </w:r>
      <w:hyperlink r:id="rId47" w:history="1">
        <w:r w:rsidRPr="00223C6B">
          <w:rPr>
            <w:rStyle w:val="Hyperlink"/>
            <w:i/>
            <w:iCs/>
            <w:lang w:val="fr-CA"/>
          </w:rPr>
          <w:t>Renseignements supplémentaires pour les promoteurs de petits réacteurs modulaires</w:t>
        </w:r>
      </w:hyperlink>
      <w:r w:rsidRPr="00223C6B">
        <w:rPr>
          <w:lang w:val="fr-CA"/>
        </w:rPr>
        <w:t>, Ottawa, Canada.</w:t>
      </w:r>
    </w:p>
    <w:p w14:paraId="0B3CDAED"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3.5.3, </w:t>
      </w:r>
      <w:hyperlink r:id="rId48" w:history="1">
        <w:r w:rsidRPr="00223C6B">
          <w:rPr>
            <w:rStyle w:val="Hyperlink"/>
            <w:i/>
            <w:iCs/>
            <w:lang w:val="fr-CA"/>
          </w:rPr>
          <w:t>Principes fondamentaux de réglementation</w:t>
        </w:r>
      </w:hyperlink>
      <w:r w:rsidRPr="00223C6B">
        <w:rPr>
          <w:lang w:val="fr-CA"/>
        </w:rPr>
        <w:t>, Ottawa, Canada.</w:t>
      </w:r>
    </w:p>
    <w:p w14:paraId="38A7600F" w14:textId="6301017E" w:rsidR="0060423A" w:rsidRPr="00223C6B" w:rsidRDefault="0060423A" w:rsidP="0060423A">
      <w:pPr>
        <w:pStyle w:val="ListParagraph"/>
        <w:numPr>
          <w:ilvl w:val="0"/>
          <w:numId w:val="35"/>
        </w:numPr>
        <w:contextualSpacing w:val="0"/>
        <w:rPr>
          <w:lang w:val="fr-CA"/>
        </w:rPr>
      </w:pPr>
      <w:r w:rsidRPr="00223C6B">
        <w:rPr>
          <w:lang w:val="fr-CA"/>
        </w:rPr>
        <w:t>Agence internationale de l’énergie atomique (AIEA)</w:t>
      </w:r>
      <w:r>
        <w:rPr>
          <w:lang w:val="fr-CA"/>
        </w:rPr>
        <w:t>.</w:t>
      </w:r>
      <w:r w:rsidRPr="00223C6B">
        <w:rPr>
          <w:lang w:val="fr-CA"/>
        </w:rPr>
        <w:t xml:space="preserve"> SSR</w:t>
      </w:r>
      <w:r w:rsidRPr="00223C6B">
        <w:rPr>
          <w:lang w:val="fr-CA"/>
        </w:rPr>
        <w:noBreakHyphen/>
        <w:t xml:space="preserve">2/2 (Rev 1), </w:t>
      </w:r>
      <w:r w:rsidRPr="00223C6B">
        <w:rPr>
          <w:i/>
          <w:iCs/>
          <w:lang w:val="fr-CA"/>
        </w:rPr>
        <w:t>Sûreté des centrales nucléaires</w:t>
      </w:r>
      <w:r w:rsidR="00B15663">
        <w:rPr>
          <w:i/>
          <w:iCs/>
          <w:lang w:val="fr-CA"/>
        </w:rPr>
        <w:t> </w:t>
      </w:r>
      <w:r w:rsidRPr="00223C6B">
        <w:rPr>
          <w:i/>
          <w:iCs/>
          <w:lang w:val="fr-CA"/>
        </w:rPr>
        <w:t>: mise en service et exploitation</w:t>
      </w:r>
      <w:r w:rsidRPr="00223C6B">
        <w:rPr>
          <w:lang w:val="fr-CA"/>
        </w:rPr>
        <w:t xml:space="preserve">, Vienne, </w:t>
      </w:r>
      <w:r w:rsidR="00B15663">
        <w:rPr>
          <w:lang w:val="fr-CA"/>
        </w:rPr>
        <w:t>Autriche</w:t>
      </w:r>
      <w:r w:rsidRPr="00223C6B">
        <w:rPr>
          <w:lang w:val="fr-CA"/>
        </w:rPr>
        <w:t>, 2016.</w:t>
      </w:r>
    </w:p>
    <w:p w14:paraId="081CEE81" w14:textId="38A32DE5" w:rsidR="0060423A" w:rsidRPr="00223C6B" w:rsidRDefault="0060423A" w:rsidP="0060423A">
      <w:pPr>
        <w:pStyle w:val="ListParagraph"/>
        <w:numPr>
          <w:ilvl w:val="0"/>
          <w:numId w:val="35"/>
        </w:numPr>
        <w:contextualSpacing w:val="0"/>
        <w:rPr>
          <w:lang w:val="fr-CA"/>
        </w:rPr>
      </w:pPr>
      <w:r w:rsidRPr="00223C6B">
        <w:rPr>
          <w:lang w:val="fr-CA"/>
        </w:rPr>
        <w:t>Groupe CSA</w:t>
      </w:r>
      <w:r>
        <w:rPr>
          <w:lang w:val="fr-CA"/>
        </w:rPr>
        <w:t>.</w:t>
      </w:r>
      <w:r w:rsidRPr="00223C6B">
        <w:rPr>
          <w:lang w:val="fr-CA"/>
        </w:rPr>
        <w:t xml:space="preserve"> CSA N286</w:t>
      </w:r>
      <w:r w:rsidR="00B15663">
        <w:rPr>
          <w:lang w:val="fr-CA"/>
        </w:rPr>
        <w:t> </w:t>
      </w:r>
      <w:r w:rsidRPr="00223C6B">
        <w:rPr>
          <w:lang w:val="fr-CA"/>
        </w:rPr>
        <w:t xml:space="preserve">:F16, </w:t>
      </w:r>
      <w:r w:rsidRPr="00223C6B">
        <w:rPr>
          <w:i/>
          <w:iCs/>
          <w:lang w:val="fr-CA"/>
        </w:rPr>
        <w:t>Exigences relatives au système de gestion des installations nucléaires</w:t>
      </w:r>
      <w:r w:rsidRPr="00223C6B">
        <w:rPr>
          <w:lang w:val="fr-CA"/>
        </w:rPr>
        <w:t>, confirmée en 2022.</w:t>
      </w:r>
    </w:p>
    <w:p w14:paraId="58F6702D"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2.1.2, </w:t>
      </w:r>
      <w:hyperlink r:id="rId49" w:history="1">
        <w:r w:rsidRPr="00223C6B">
          <w:rPr>
            <w:rStyle w:val="Hyperlink"/>
            <w:i/>
            <w:iCs/>
            <w:lang w:val="fr-CA"/>
          </w:rPr>
          <w:t>Culture de sûreté</w:t>
        </w:r>
      </w:hyperlink>
      <w:r w:rsidRPr="00223C6B">
        <w:rPr>
          <w:lang w:val="fr-CA"/>
        </w:rPr>
        <w:t>, Ottawa, Canada.</w:t>
      </w:r>
    </w:p>
    <w:p w14:paraId="013A59B9"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2.2.2, </w:t>
      </w:r>
      <w:hyperlink r:id="rId50" w:history="1">
        <w:r w:rsidRPr="00223C6B">
          <w:rPr>
            <w:rStyle w:val="Hyperlink"/>
            <w:i/>
            <w:iCs/>
            <w:lang w:val="fr-CA"/>
          </w:rPr>
          <w:t>La formation du personnel</w:t>
        </w:r>
      </w:hyperlink>
      <w:r w:rsidRPr="00223C6B">
        <w:rPr>
          <w:lang w:val="fr-CA"/>
        </w:rPr>
        <w:t>, Ottawa, Canada.</w:t>
      </w:r>
    </w:p>
    <w:p w14:paraId="3690CCD9" w14:textId="7B4F421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2.2.3, </w:t>
      </w:r>
      <w:hyperlink r:id="rId51" w:history="1">
        <w:r w:rsidRPr="00223C6B">
          <w:rPr>
            <w:rStyle w:val="Hyperlink"/>
            <w:i/>
            <w:iCs/>
            <w:lang w:val="fr-CA"/>
          </w:rPr>
          <w:t>Accréditation du personnel, tome III</w:t>
        </w:r>
        <w:r w:rsidR="00B15663">
          <w:rPr>
            <w:rStyle w:val="Hyperlink"/>
            <w:i/>
            <w:iCs/>
            <w:lang w:val="fr-CA"/>
          </w:rPr>
          <w:t> </w:t>
        </w:r>
        <w:r w:rsidRPr="00223C6B">
          <w:rPr>
            <w:rStyle w:val="Hyperlink"/>
            <w:i/>
            <w:iCs/>
            <w:lang w:val="fr-CA"/>
          </w:rPr>
          <w:t>: Accréditation des personnes qui travaillent dans des installations dotées de réacteurs</w:t>
        </w:r>
      </w:hyperlink>
      <w:r w:rsidRPr="00223C6B">
        <w:rPr>
          <w:lang w:val="fr-CA"/>
        </w:rPr>
        <w:t>, Ottawa, Canada.</w:t>
      </w:r>
    </w:p>
    <w:p w14:paraId="6C0F74FA" w14:textId="70F17EAA" w:rsidR="0060423A" w:rsidRPr="00223C6B" w:rsidRDefault="0060423A" w:rsidP="0060423A">
      <w:pPr>
        <w:pStyle w:val="ListParagraph"/>
        <w:numPr>
          <w:ilvl w:val="0"/>
          <w:numId w:val="35"/>
        </w:numPr>
        <w:contextualSpacing w:val="0"/>
        <w:rPr>
          <w:lang w:val="fr-CA"/>
        </w:rPr>
      </w:pPr>
      <w:r w:rsidRPr="00223C6B">
        <w:rPr>
          <w:lang w:val="fr-CA"/>
        </w:rPr>
        <w:t>AIEA</w:t>
      </w:r>
      <w:r>
        <w:rPr>
          <w:lang w:val="fr-CA"/>
        </w:rPr>
        <w:t xml:space="preserve">. </w:t>
      </w:r>
      <w:r w:rsidRPr="00223C6B">
        <w:rPr>
          <w:lang w:val="fr-CA"/>
        </w:rPr>
        <w:t>Collection Normes de sûreté, n</w:t>
      </w:r>
      <w:r w:rsidRPr="00223C6B">
        <w:rPr>
          <w:vertAlign w:val="superscript"/>
          <w:lang w:val="fr-CA"/>
        </w:rPr>
        <w:t>o</w:t>
      </w:r>
      <w:r w:rsidRPr="00223C6B">
        <w:rPr>
          <w:lang w:val="fr-CA"/>
        </w:rPr>
        <w:t> NS</w:t>
      </w:r>
      <w:r w:rsidRPr="00223C6B">
        <w:rPr>
          <w:lang w:val="fr-CA"/>
        </w:rPr>
        <w:noBreakHyphen/>
        <w:t>G</w:t>
      </w:r>
      <w:r w:rsidRPr="00223C6B">
        <w:rPr>
          <w:lang w:val="fr-CA"/>
        </w:rPr>
        <w:noBreakHyphen/>
        <w:t xml:space="preserve">2.14, </w:t>
      </w:r>
      <w:hyperlink r:id="rId52" w:history="1">
        <w:r w:rsidRPr="00223C6B">
          <w:rPr>
            <w:rStyle w:val="Hyperlink"/>
            <w:i/>
            <w:iCs/>
            <w:lang w:val="fr-CA"/>
          </w:rPr>
          <w:t>Conduct of Operations at Nuclear Power Plants</w:t>
        </w:r>
      </w:hyperlink>
      <w:r w:rsidRPr="00223C6B">
        <w:rPr>
          <w:lang w:val="fr-CA"/>
        </w:rPr>
        <w:t xml:space="preserve">, Vienne, </w:t>
      </w:r>
      <w:r w:rsidR="00B15663">
        <w:rPr>
          <w:lang w:val="fr-CA"/>
        </w:rPr>
        <w:t>Autriche</w:t>
      </w:r>
      <w:r w:rsidRPr="00223C6B">
        <w:rPr>
          <w:lang w:val="fr-CA"/>
        </w:rPr>
        <w:t>, 2008 (en anglais seulement).</w:t>
      </w:r>
    </w:p>
    <w:p w14:paraId="28077F73" w14:textId="28562B98"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2.3.1, </w:t>
      </w:r>
      <w:hyperlink r:id="rId53" w:history="1">
        <w:r w:rsidRPr="00223C6B">
          <w:rPr>
            <w:rStyle w:val="Hyperlink"/>
            <w:i/>
            <w:iCs/>
            <w:lang w:val="fr-CA"/>
          </w:rPr>
          <w:t>Réalisation des activités autorisées</w:t>
        </w:r>
        <w:r w:rsidR="00B15663">
          <w:rPr>
            <w:rStyle w:val="Hyperlink"/>
            <w:i/>
            <w:iCs/>
            <w:lang w:val="fr-CA"/>
          </w:rPr>
          <w:t> </w:t>
        </w:r>
        <w:r w:rsidRPr="00223C6B">
          <w:rPr>
            <w:rStyle w:val="Hyperlink"/>
            <w:i/>
            <w:iCs/>
            <w:lang w:val="fr-CA"/>
          </w:rPr>
          <w:t>: Programmes de construction et de mise en service</w:t>
        </w:r>
      </w:hyperlink>
      <w:r w:rsidRPr="00223C6B">
        <w:rPr>
          <w:lang w:val="fr-CA"/>
        </w:rPr>
        <w:t>, Ottawa, Canada.</w:t>
      </w:r>
    </w:p>
    <w:p w14:paraId="42B13685"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2.11.2, </w:t>
      </w:r>
      <w:hyperlink r:id="rId54" w:history="1">
        <w:r w:rsidRPr="00223C6B">
          <w:rPr>
            <w:rStyle w:val="Hyperlink"/>
            <w:i/>
            <w:iCs/>
            <w:lang w:val="fr-CA"/>
          </w:rPr>
          <w:t>Déclassement</w:t>
        </w:r>
      </w:hyperlink>
      <w:r w:rsidRPr="00223C6B">
        <w:rPr>
          <w:lang w:val="fr-CA"/>
        </w:rPr>
        <w:t>, Ottawa, Canada.</w:t>
      </w:r>
    </w:p>
    <w:p w14:paraId="3BD9CD92" w14:textId="77777777" w:rsidR="006F66E4" w:rsidRPr="00223C6B" w:rsidRDefault="006F66E4" w:rsidP="006F66E4">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2.5.2, </w:t>
      </w:r>
      <w:hyperlink r:id="rId55" w:history="1">
        <w:r w:rsidRPr="00223C6B">
          <w:rPr>
            <w:rStyle w:val="Hyperlink"/>
            <w:i/>
            <w:iCs/>
            <w:lang w:val="fr-CA"/>
          </w:rPr>
          <w:t>Conception d’installations dotées de réacteurs</w:t>
        </w:r>
      </w:hyperlink>
      <w:r w:rsidRPr="00223C6B">
        <w:rPr>
          <w:lang w:val="fr-CA"/>
        </w:rPr>
        <w:t>, Ottawa, Canada.</w:t>
      </w:r>
    </w:p>
    <w:p w14:paraId="581EAFBC" w14:textId="071B3867" w:rsidR="0075619F" w:rsidRPr="0075619F" w:rsidRDefault="0075619F" w:rsidP="0060423A">
      <w:pPr>
        <w:pStyle w:val="ListParagraph"/>
        <w:numPr>
          <w:ilvl w:val="0"/>
          <w:numId w:val="35"/>
        </w:numPr>
        <w:contextualSpacing w:val="0"/>
      </w:pPr>
      <w:r>
        <w:t xml:space="preserve">AIEA, INSAG Series No. 25, </w:t>
      </w:r>
      <w:hyperlink r:id="rId56" w:history="1">
        <w:r w:rsidRPr="001001FE">
          <w:rPr>
            <w:rStyle w:val="Hyperlink"/>
            <w:i/>
            <w:iCs/>
          </w:rPr>
          <w:t>A Framework for an Integrated Risk Informed Decision Making Process</w:t>
        </w:r>
      </w:hyperlink>
      <w:r>
        <w:t>, Vienn</w:t>
      </w:r>
      <w:r w:rsidR="00107810">
        <w:t>e</w:t>
      </w:r>
      <w:r>
        <w:t xml:space="preserve">, </w:t>
      </w:r>
      <w:r w:rsidR="00107810" w:rsidRPr="00107810">
        <w:t>Autriche</w:t>
      </w:r>
      <w:r>
        <w:t>, 2011</w:t>
      </w:r>
      <w:r w:rsidR="00107810" w:rsidRPr="00107810">
        <w:t xml:space="preserve"> (en anglais seulement).</w:t>
      </w:r>
    </w:p>
    <w:p w14:paraId="63C54588" w14:textId="77777777" w:rsidR="006F66E4" w:rsidRDefault="006F66E4" w:rsidP="006F66E4">
      <w:pPr>
        <w:pStyle w:val="ListParagraph"/>
        <w:numPr>
          <w:ilvl w:val="0"/>
          <w:numId w:val="35"/>
        </w:numPr>
        <w:contextualSpacing w:val="0"/>
        <w:rPr>
          <w:lang w:val="fr-CA"/>
        </w:rPr>
      </w:pPr>
      <w:r w:rsidRPr="00223C6B">
        <w:rPr>
          <w:lang w:val="fr-CA"/>
        </w:rPr>
        <w:t>Groupe CSA</w:t>
      </w:r>
      <w:r>
        <w:rPr>
          <w:lang w:val="fr-CA"/>
        </w:rPr>
        <w:t>.</w:t>
      </w:r>
      <w:r w:rsidRPr="00223C6B">
        <w:rPr>
          <w:lang w:val="fr-CA"/>
        </w:rPr>
        <w:t xml:space="preserve"> CSA N290.19</w:t>
      </w:r>
      <w:r>
        <w:rPr>
          <w:lang w:val="fr-CA"/>
        </w:rPr>
        <w:t> </w:t>
      </w:r>
      <w:r w:rsidRPr="00223C6B">
        <w:rPr>
          <w:lang w:val="fr-CA"/>
        </w:rPr>
        <w:t xml:space="preserve">:F18, </w:t>
      </w:r>
      <w:r w:rsidRPr="00223C6B">
        <w:rPr>
          <w:i/>
          <w:iCs/>
          <w:lang w:val="fr-CA"/>
        </w:rPr>
        <w:t>Processus décisionnel tenant compte du risque pour les centrales nucléaires</w:t>
      </w:r>
      <w:r w:rsidRPr="00223C6B">
        <w:rPr>
          <w:lang w:val="fr-CA"/>
        </w:rPr>
        <w:t>, 2018.</w:t>
      </w:r>
    </w:p>
    <w:p w14:paraId="13932A37" w14:textId="77777777" w:rsidR="008F2E90" w:rsidRPr="00107810" w:rsidRDefault="008F2E90" w:rsidP="008F2E90">
      <w:pPr>
        <w:pStyle w:val="ListParagraph"/>
        <w:numPr>
          <w:ilvl w:val="0"/>
          <w:numId w:val="35"/>
        </w:numPr>
        <w:contextualSpacing w:val="0"/>
        <w:rPr>
          <w:lang w:val="fr-CA"/>
        </w:rPr>
      </w:pPr>
      <w:r>
        <w:t>AIEA, Safety Standards Series No. </w:t>
      </w:r>
      <w:r w:rsidRPr="00107810">
        <w:rPr>
          <w:lang w:val="fr-CA"/>
        </w:rPr>
        <w:t>SSG</w:t>
      </w:r>
      <w:r w:rsidRPr="00107810">
        <w:rPr>
          <w:lang w:val="fr-CA"/>
        </w:rPr>
        <w:noBreakHyphen/>
        <w:t xml:space="preserve">71, </w:t>
      </w:r>
      <w:hyperlink r:id="rId57" w:history="1">
        <w:r w:rsidRPr="00107810">
          <w:rPr>
            <w:rStyle w:val="Hyperlink"/>
            <w:i/>
            <w:iCs/>
            <w:lang w:val="fr-CA"/>
          </w:rPr>
          <w:t>Modifications to Nuclear Power Plants</w:t>
        </w:r>
      </w:hyperlink>
      <w:r w:rsidRPr="00107810">
        <w:rPr>
          <w:lang w:val="fr-CA"/>
        </w:rPr>
        <w:t xml:space="preserve">, Vienne, </w:t>
      </w:r>
      <w:r>
        <w:rPr>
          <w:lang w:val="fr-CA"/>
        </w:rPr>
        <w:t>Autriche</w:t>
      </w:r>
      <w:r w:rsidRPr="00107810">
        <w:rPr>
          <w:lang w:val="fr-CA"/>
        </w:rPr>
        <w:t>, 2022</w:t>
      </w:r>
      <w:r w:rsidRPr="00223C6B">
        <w:rPr>
          <w:lang w:val="fr-CA"/>
        </w:rPr>
        <w:t xml:space="preserve"> (en anglais seulement).</w:t>
      </w:r>
    </w:p>
    <w:p w14:paraId="4665848B" w14:textId="6909F725" w:rsidR="00107810" w:rsidRPr="006F66E4" w:rsidRDefault="00107810" w:rsidP="0060423A">
      <w:pPr>
        <w:pStyle w:val="ListParagraph"/>
        <w:numPr>
          <w:ilvl w:val="0"/>
          <w:numId w:val="35"/>
        </w:numPr>
        <w:contextualSpacing w:val="0"/>
        <w:rPr>
          <w:lang w:val="fr-CA"/>
        </w:rPr>
      </w:pPr>
      <w:r w:rsidRPr="008F2E90">
        <w:t>IAEA, Safety Standards Series No. </w:t>
      </w:r>
      <w:r w:rsidRPr="006F66E4">
        <w:rPr>
          <w:lang w:val="fr-CA"/>
        </w:rPr>
        <w:t>SSG</w:t>
      </w:r>
      <w:r w:rsidRPr="006F66E4">
        <w:rPr>
          <w:lang w:val="fr-CA"/>
        </w:rPr>
        <w:noBreakHyphen/>
        <w:t xml:space="preserve">74, </w:t>
      </w:r>
      <w:hyperlink r:id="rId58" w:history="1">
        <w:r w:rsidRPr="006F66E4">
          <w:rPr>
            <w:rStyle w:val="Hyperlink"/>
            <w:i/>
            <w:iCs/>
            <w:lang w:val="fr-CA"/>
          </w:rPr>
          <w:t>Maintenance, Testing, Surveillance and Inspection in Nuclear Power Plants</w:t>
        </w:r>
      </w:hyperlink>
      <w:r w:rsidRPr="006F66E4">
        <w:rPr>
          <w:lang w:val="fr-CA"/>
        </w:rPr>
        <w:t>, Vienne, Autriche, 2022</w:t>
      </w:r>
      <w:r w:rsidRPr="00223C6B">
        <w:rPr>
          <w:lang w:val="fr-CA"/>
        </w:rPr>
        <w:t xml:space="preserve"> (en anglais seulement).</w:t>
      </w:r>
    </w:p>
    <w:p w14:paraId="5FD85E77" w14:textId="77777777" w:rsidR="008F2E90" w:rsidRDefault="008F2E90" w:rsidP="008F2E90">
      <w:pPr>
        <w:pStyle w:val="ListParagraph"/>
        <w:numPr>
          <w:ilvl w:val="0"/>
          <w:numId w:val="35"/>
        </w:numPr>
        <w:contextualSpacing w:val="0"/>
        <w:rPr>
          <w:lang w:val="fr-CA"/>
        </w:rPr>
      </w:pPr>
      <w:r w:rsidRPr="00223C6B">
        <w:rPr>
          <w:lang w:val="fr-CA"/>
        </w:rPr>
        <w:t>Groupe CSA</w:t>
      </w:r>
      <w:r>
        <w:rPr>
          <w:lang w:val="fr-CA"/>
        </w:rPr>
        <w:t>.</w:t>
      </w:r>
      <w:r w:rsidRPr="00223C6B">
        <w:rPr>
          <w:lang w:val="fr-CA"/>
        </w:rPr>
        <w:t xml:space="preserve"> CSA N286.10</w:t>
      </w:r>
      <w:r>
        <w:rPr>
          <w:lang w:val="fr-CA"/>
        </w:rPr>
        <w:t> </w:t>
      </w:r>
      <w:r w:rsidRPr="00223C6B">
        <w:rPr>
          <w:lang w:val="fr-CA"/>
        </w:rPr>
        <w:t xml:space="preserve">:F16, </w:t>
      </w:r>
      <w:r w:rsidRPr="00223C6B">
        <w:rPr>
          <w:i/>
          <w:iCs/>
          <w:lang w:val="fr-CA"/>
        </w:rPr>
        <w:t>Gestion de la configuration des installations de réacteurs à haute puissance</w:t>
      </w:r>
      <w:r w:rsidRPr="00223C6B">
        <w:rPr>
          <w:lang w:val="fr-CA"/>
        </w:rPr>
        <w:t>, confirmée en 2021.</w:t>
      </w:r>
    </w:p>
    <w:p w14:paraId="4DC00102" w14:textId="60BBCC54" w:rsidR="0060423A" w:rsidRDefault="0060423A" w:rsidP="0060423A">
      <w:pPr>
        <w:pStyle w:val="ListParagraph"/>
        <w:numPr>
          <w:ilvl w:val="0"/>
          <w:numId w:val="35"/>
        </w:numPr>
        <w:contextualSpacing w:val="0"/>
        <w:rPr>
          <w:lang w:val="fr-CA"/>
        </w:rPr>
      </w:pPr>
      <w:r w:rsidRPr="00223C6B">
        <w:rPr>
          <w:lang w:val="fr-CA"/>
        </w:rPr>
        <w:t>Groupe CSA</w:t>
      </w:r>
      <w:r>
        <w:rPr>
          <w:lang w:val="fr-CA"/>
        </w:rPr>
        <w:t>.</w:t>
      </w:r>
      <w:r w:rsidRPr="00223C6B">
        <w:rPr>
          <w:lang w:val="fr-CA"/>
        </w:rPr>
        <w:t xml:space="preserve"> CSA N290.11</w:t>
      </w:r>
      <w:r w:rsidR="00B15663">
        <w:rPr>
          <w:lang w:val="fr-CA"/>
        </w:rPr>
        <w:t> </w:t>
      </w:r>
      <w:r w:rsidRPr="00223C6B">
        <w:rPr>
          <w:lang w:val="fr-CA"/>
        </w:rPr>
        <w:t xml:space="preserve">:F21, </w:t>
      </w:r>
      <w:r w:rsidRPr="00223C6B">
        <w:rPr>
          <w:i/>
          <w:iCs/>
          <w:lang w:val="fr-CA"/>
        </w:rPr>
        <w:t>Exigences relatives à la capacité d’évacuation de la chaleur du réacteur pendant l’arrêt des centrales nucléaires</w:t>
      </w:r>
      <w:r w:rsidRPr="00223C6B">
        <w:rPr>
          <w:lang w:val="fr-CA"/>
        </w:rPr>
        <w:t>, 2021.</w:t>
      </w:r>
    </w:p>
    <w:p w14:paraId="4F665096" w14:textId="4958745F" w:rsidR="00FE7859" w:rsidRPr="00223C6B" w:rsidRDefault="00FE7859" w:rsidP="0060423A">
      <w:pPr>
        <w:pStyle w:val="ListParagraph"/>
        <w:numPr>
          <w:ilvl w:val="0"/>
          <w:numId w:val="35"/>
        </w:numPr>
        <w:contextualSpacing w:val="0"/>
        <w:rPr>
          <w:lang w:val="fr-CA"/>
        </w:rPr>
      </w:pPr>
      <w:r>
        <w:rPr>
          <w:lang w:val="fr-CA"/>
        </w:rPr>
        <w:t xml:space="preserve">CCSN. </w:t>
      </w:r>
      <w:r w:rsidRPr="00FE7859">
        <w:rPr>
          <w:lang w:val="fr-CA"/>
        </w:rPr>
        <w:t>REGDOC</w:t>
      </w:r>
      <w:r w:rsidRPr="00FE7859">
        <w:rPr>
          <w:lang w:val="fr-CA"/>
        </w:rPr>
        <w:noBreakHyphen/>
        <w:t xml:space="preserve">2.8.1, </w:t>
      </w:r>
      <w:hyperlink r:id="rId59" w:history="1">
        <w:r w:rsidRPr="00FE7859">
          <w:rPr>
            <w:rStyle w:val="Hyperlink"/>
            <w:i/>
            <w:iCs/>
            <w:lang w:val="fr-CA"/>
          </w:rPr>
          <w:t>Santé et sécurité classiques</w:t>
        </w:r>
      </w:hyperlink>
      <w:r>
        <w:rPr>
          <w:lang w:val="fr-CA"/>
        </w:rPr>
        <w:t>, Ottawa, Canada.</w:t>
      </w:r>
    </w:p>
    <w:p w14:paraId="6F3615E5"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2.10.2, </w:t>
      </w:r>
      <w:hyperlink r:id="rId60" w:history="1">
        <w:r w:rsidRPr="00223C6B">
          <w:rPr>
            <w:rStyle w:val="Hyperlink"/>
            <w:i/>
            <w:iCs/>
            <w:lang w:val="fr-CA"/>
          </w:rPr>
          <w:t>Protection-incendie</w:t>
        </w:r>
      </w:hyperlink>
      <w:r w:rsidRPr="00223C6B">
        <w:rPr>
          <w:lang w:val="fr-CA"/>
        </w:rPr>
        <w:t xml:space="preserve">, Ottawa, Canada. </w:t>
      </w:r>
      <w:r w:rsidRPr="00223C6B">
        <w:rPr>
          <w:highlight w:val="yellow"/>
          <w:lang w:val="fr-CA"/>
        </w:rPr>
        <w:t>[</w:t>
      </w:r>
      <w:r>
        <w:rPr>
          <w:highlight w:val="yellow"/>
          <w:lang w:val="fr-CA"/>
        </w:rPr>
        <w:t>ébauche</w:t>
      </w:r>
      <w:r w:rsidRPr="00223C6B">
        <w:rPr>
          <w:highlight w:val="yellow"/>
          <w:lang w:val="fr-CA"/>
        </w:rPr>
        <w:t>]</w:t>
      </w:r>
    </w:p>
    <w:p w14:paraId="08F2EB5B"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2.6.2, </w:t>
      </w:r>
      <w:hyperlink r:id="rId61" w:history="1">
        <w:r w:rsidRPr="00223C6B">
          <w:rPr>
            <w:rStyle w:val="Hyperlink"/>
            <w:i/>
            <w:iCs/>
            <w:lang w:val="fr-CA"/>
          </w:rPr>
          <w:t>Programmes d’entretien des centrales nucléaires</w:t>
        </w:r>
      </w:hyperlink>
      <w:r w:rsidRPr="00223C6B">
        <w:rPr>
          <w:lang w:val="fr-CA"/>
        </w:rPr>
        <w:t>, Ottawa, Canada.</w:t>
      </w:r>
    </w:p>
    <w:p w14:paraId="328D52AD" w14:textId="77777777" w:rsidR="006F66E4" w:rsidRPr="00223C6B" w:rsidRDefault="006F66E4" w:rsidP="006F66E4">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2.6.4, </w:t>
      </w:r>
      <w:hyperlink r:id="rId62" w:history="1">
        <w:r w:rsidRPr="00223C6B">
          <w:rPr>
            <w:rStyle w:val="Hyperlink"/>
            <w:i/>
            <w:iCs/>
            <w:lang w:val="fr-CA"/>
          </w:rPr>
          <w:t>Contrôle ch</w:t>
        </w:r>
        <w:r>
          <w:rPr>
            <w:rStyle w:val="Hyperlink"/>
            <w:i/>
            <w:iCs/>
            <w:lang w:val="fr-CA"/>
          </w:rPr>
          <w:t>i</w:t>
        </w:r>
        <w:r w:rsidRPr="00223C6B">
          <w:rPr>
            <w:rStyle w:val="Hyperlink"/>
            <w:i/>
            <w:iCs/>
            <w:lang w:val="fr-CA"/>
          </w:rPr>
          <w:t>mique</w:t>
        </w:r>
      </w:hyperlink>
      <w:r w:rsidRPr="00223C6B">
        <w:rPr>
          <w:lang w:val="fr-CA"/>
        </w:rPr>
        <w:t xml:space="preserve">, Ottawa, Canada. </w:t>
      </w:r>
      <w:r w:rsidRPr="00223C6B">
        <w:rPr>
          <w:highlight w:val="yellow"/>
          <w:lang w:val="fr-CA"/>
        </w:rPr>
        <w:t>[en cours d’élaboration]</w:t>
      </w:r>
    </w:p>
    <w:p w14:paraId="6A3BAA98"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2.2.5, </w:t>
      </w:r>
      <w:hyperlink r:id="rId63" w:history="1">
        <w:r w:rsidRPr="00223C6B">
          <w:rPr>
            <w:rStyle w:val="Hyperlink"/>
            <w:i/>
            <w:iCs/>
            <w:lang w:val="fr-CA"/>
          </w:rPr>
          <w:t>Effectif minimal</w:t>
        </w:r>
      </w:hyperlink>
      <w:r w:rsidRPr="00223C6B">
        <w:rPr>
          <w:lang w:val="fr-CA"/>
        </w:rPr>
        <w:t>, Ottawa, Canada.</w:t>
      </w:r>
    </w:p>
    <w:p w14:paraId="420B46D3" w14:textId="77777777" w:rsidR="007C177A" w:rsidRPr="00223C6B" w:rsidRDefault="0060423A" w:rsidP="007C177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2.6.3, </w:t>
      </w:r>
      <w:hyperlink r:id="rId64" w:history="1">
        <w:r w:rsidRPr="00223C6B">
          <w:rPr>
            <w:rStyle w:val="Hyperlink"/>
            <w:i/>
            <w:iCs/>
            <w:lang w:val="fr-CA"/>
          </w:rPr>
          <w:t>Gestion du vieillissement</w:t>
        </w:r>
      </w:hyperlink>
      <w:r w:rsidRPr="00223C6B">
        <w:rPr>
          <w:lang w:val="fr-CA"/>
        </w:rPr>
        <w:t>, Ottawa, Canada.</w:t>
      </w:r>
    </w:p>
    <w:p w14:paraId="0E0C6D54" w14:textId="498913D7" w:rsidR="0060423A" w:rsidRPr="00223C6B" w:rsidRDefault="007C177A" w:rsidP="007C177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2.6.</w:t>
      </w:r>
      <w:r>
        <w:rPr>
          <w:lang w:val="fr-CA"/>
        </w:rPr>
        <w:t>1</w:t>
      </w:r>
      <w:r w:rsidRPr="00223C6B">
        <w:rPr>
          <w:lang w:val="fr-CA"/>
        </w:rPr>
        <w:t xml:space="preserve">, </w:t>
      </w:r>
      <w:hyperlink r:id="rId65" w:history="1">
        <w:r>
          <w:rPr>
            <w:rStyle w:val="Hyperlink"/>
            <w:i/>
            <w:iCs/>
            <w:lang w:val="fr-CA"/>
          </w:rPr>
          <w:t>Programmes de fiabilité pour les centrales nucléaires</w:t>
        </w:r>
      </w:hyperlink>
      <w:r w:rsidRPr="00223C6B">
        <w:rPr>
          <w:lang w:val="fr-CA"/>
        </w:rPr>
        <w:t>, Ottawa, Canada.</w:t>
      </w:r>
    </w:p>
    <w:p w14:paraId="0DCAD668" w14:textId="1F9A8CE2" w:rsidR="0060423A" w:rsidRPr="00223C6B" w:rsidRDefault="0060423A" w:rsidP="0060423A">
      <w:pPr>
        <w:pStyle w:val="ListParagraph"/>
        <w:numPr>
          <w:ilvl w:val="0"/>
          <w:numId w:val="35"/>
        </w:numPr>
        <w:contextualSpacing w:val="0"/>
        <w:rPr>
          <w:lang w:val="fr-CA"/>
        </w:rPr>
      </w:pPr>
      <w:r w:rsidRPr="00223C6B">
        <w:rPr>
          <w:lang w:val="fr-CA"/>
        </w:rPr>
        <w:t>Groupe CSA</w:t>
      </w:r>
      <w:r>
        <w:rPr>
          <w:lang w:val="fr-CA"/>
        </w:rPr>
        <w:t>.</w:t>
      </w:r>
      <w:r w:rsidRPr="00223C6B">
        <w:rPr>
          <w:lang w:val="fr-CA"/>
        </w:rPr>
        <w:t xml:space="preserve"> CSA N290.15</w:t>
      </w:r>
      <w:r w:rsidR="00B15663">
        <w:rPr>
          <w:lang w:val="fr-CA"/>
        </w:rPr>
        <w:t> </w:t>
      </w:r>
      <w:r w:rsidRPr="00223C6B">
        <w:rPr>
          <w:lang w:val="fr-CA"/>
        </w:rPr>
        <w:t xml:space="preserve">:F19, </w:t>
      </w:r>
      <w:r w:rsidRPr="00223C6B">
        <w:rPr>
          <w:i/>
          <w:iCs/>
          <w:lang w:val="fr-CA"/>
        </w:rPr>
        <w:t>Exigences relatives à l’enveloppe d’exploitation sûre des centrales nucléaires</w:t>
      </w:r>
      <w:r w:rsidRPr="00223C6B">
        <w:rPr>
          <w:lang w:val="fr-CA"/>
        </w:rPr>
        <w:t>, 2019.</w:t>
      </w:r>
    </w:p>
    <w:p w14:paraId="6702CEAC" w14:textId="77777777" w:rsidR="0060423A" w:rsidRPr="00223C6B"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2.4.5, </w:t>
      </w:r>
      <w:hyperlink r:id="rId66" w:history="1">
        <w:r w:rsidRPr="00223C6B">
          <w:rPr>
            <w:rStyle w:val="Hyperlink"/>
            <w:i/>
            <w:iCs/>
            <w:lang w:val="fr-CA"/>
          </w:rPr>
          <w:t>Sûreté du combustible nucléaire</w:t>
        </w:r>
      </w:hyperlink>
      <w:r w:rsidRPr="00223C6B">
        <w:rPr>
          <w:lang w:val="fr-CA"/>
        </w:rPr>
        <w:t xml:space="preserve">, Ottawa, Canada. </w:t>
      </w:r>
      <w:r w:rsidRPr="00223C6B">
        <w:rPr>
          <w:highlight w:val="yellow"/>
          <w:lang w:val="fr-CA"/>
        </w:rPr>
        <w:t>[ébauche]</w:t>
      </w:r>
    </w:p>
    <w:p w14:paraId="597E7C13" w14:textId="4E69A0FB" w:rsidR="0060423A" w:rsidRDefault="0060423A"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2.4.3, </w:t>
      </w:r>
      <w:hyperlink r:id="rId67" w:history="1">
        <w:r w:rsidRPr="00223C6B">
          <w:rPr>
            <w:rStyle w:val="Hyperlink"/>
            <w:i/>
            <w:iCs/>
            <w:lang w:val="fr-CA"/>
          </w:rPr>
          <w:t>Sûreté-criticité nucléaire</w:t>
        </w:r>
      </w:hyperlink>
      <w:r w:rsidRPr="00223C6B">
        <w:rPr>
          <w:lang w:val="fr-CA"/>
        </w:rPr>
        <w:t>, Ottawa, Canada.</w:t>
      </w:r>
    </w:p>
    <w:p w14:paraId="15A75593" w14:textId="77777777" w:rsidR="006F66E4" w:rsidRPr="00223C6B" w:rsidRDefault="006F66E4" w:rsidP="006F66E4">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3.1.1, </w:t>
      </w:r>
      <w:hyperlink r:id="rId68" w:history="1">
        <w:r w:rsidRPr="00223C6B">
          <w:rPr>
            <w:rStyle w:val="Hyperlink"/>
            <w:i/>
            <w:iCs/>
            <w:lang w:val="fr-CA"/>
          </w:rPr>
          <w:t>Rapports à soumettre par les exploitants de centrales nucléaires</w:t>
        </w:r>
      </w:hyperlink>
      <w:r w:rsidRPr="00223C6B">
        <w:rPr>
          <w:lang w:val="fr-CA"/>
        </w:rPr>
        <w:t>, Ottawa, Canada.</w:t>
      </w:r>
    </w:p>
    <w:p w14:paraId="45518C4F" w14:textId="04324E7E" w:rsidR="00B15663" w:rsidRPr="00223C6B" w:rsidRDefault="00B15663"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3.6, </w:t>
      </w:r>
      <w:hyperlink r:id="rId69" w:history="1">
        <w:r w:rsidRPr="00223C6B">
          <w:rPr>
            <w:rStyle w:val="Hyperlink"/>
            <w:i/>
            <w:iCs/>
            <w:lang w:val="fr-CA"/>
          </w:rPr>
          <w:t>Glossaire de la CCSN</w:t>
        </w:r>
      </w:hyperlink>
      <w:r w:rsidRPr="00223C6B">
        <w:rPr>
          <w:lang w:val="fr-CA"/>
        </w:rPr>
        <w:t>, Ottawa, Canada.</w:t>
      </w:r>
    </w:p>
    <w:p w14:paraId="646AB9F2" w14:textId="7ECCD545" w:rsidR="0060423A" w:rsidRDefault="00B15663" w:rsidP="0060423A">
      <w:pPr>
        <w:pStyle w:val="ListParagraph"/>
        <w:numPr>
          <w:ilvl w:val="0"/>
          <w:numId w:val="35"/>
        </w:numPr>
        <w:contextualSpacing w:val="0"/>
        <w:rPr>
          <w:lang w:val="fr-CA"/>
        </w:rPr>
      </w:pPr>
      <w:r w:rsidRPr="00B15663">
        <w:rPr>
          <w:lang w:val="fr-CA"/>
        </w:rPr>
        <w:t>C</w:t>
      </w:r>
      <w:r>
        <w:rPr>
          <w:lang w:val="fr-CA"/>
        </w:rPr>
        <w:t>C</w:t>
      </w:r>
      <w:r w:rsidRPr="00B15663">
        <w:rPr>
          <w:lang w:val="fr-CA"/>
        </w:rPr>
        <w:t>SN. REGDOC</w:t>
      </w:r>
      <w:r w:rsidRPr="00B15663">
        <w:rPr>
          <w:lang w:val="fr-CA"/>
        </w:rPr>
        <w:noBreakHyphen/>
        <w:t xml:space="preserve">2.4.1, </w:t>
      </w:r>
      <w:hyperlink r:id="rId70" w:history="1">
        <w:r w:rsidRPr="00B15663">
          <w:rPr>
            <w:rStyle w:val="Hyperlink"/>
            <w:i/>
            <w:iCs/>
            <w:lang w:val="fr-CA"/>
          </w:rPr>
          <w:t>Analyse déterministe de la sûreté</w:t>
        </w:r>
      </w:hyperlink>
      <w:r w:rsidRPr="00B15663">
        <w:rPr>
          <w:lang w:val="fr-CA"/>
        </w:rPr>
        <w:t>, Ottawa, Canada.</w:t>
      </w:r>
    </w:p>
    <w:p w14:paraId="131EB0DB" w14:textId="2B31DF53" w:rsidR="00B15663" w:rsidRDefault="00B15663" w:rsidP="0060423A">
      <w:pPr>
        <w:pStyle w:val="ListParagraph"/>
        <w:numPr>
          <w:ilvl w:val="0"/>
          <w:numId w:val="35"/>
        </w:numPr>
        <w:contextualSpacing w:val="0"/>
      </w:pPr>
      <w:r>
        <w:t>AIEA, Safety Standards Series No. SSG</w:t>
      </w:r>
      <w:r>
        <w:noBreakHyphen/>
        <w:t xml:space="preserve">70, </w:t>
      </w:r>
      <w:hyperlink r:id="rId71" w:history="1">
        <w:r w:rsidRPr="00A01ABE">
          <w:rPr>
            <w:rStyle w:val="Hyperlink"/>
            <w:i/>
            <w:iCs/>
          </w:rPr>
          <w:t>Operational Limits and Conditions and Operating Procedures for Nuclear Power Plants</w:t>
        </w:r>
      </w:hyperlink>
      <w:r>
        <w:t xml:space="preserve">, Vienne, </w:t>
      </w:r>
      <w:r w:rsidRPr="0041167D">
        <w:t>Autriche</w:t>
      </w:r>
      <w:r>
        <w:t>, 2022</w:t>
      </w:r>
      <w:r w:rsidRPr="0041167D">
        <w:t xml:space="preserve"> (en anglais seulement).</w:t>
      </w:r>
    </w:p>
    <w:p w14:paraId="33513218" w14:textId="0B6F2638" w:rsidR="00B15663" w:rsidRPr="00B15663" w:rsidRDefault="00B15663" w:rsidP="0060423A">
      <w:pPr>
        <w:pStyle w:val="ListParagraph"/>
        <w:numPr>
          <w:ilvl w:val="0"/>
          <w:numId w:val="35"/>
        </w:numPr>
        <w:contextualSpacing w:val="0"/>
      </w:pPr>
      <w:r w:rsidRPr="00223C6B">
        <w:rPr>
          <w:lang w:val="fr-CA"/>
        </w:rPr>
        <w:t>CCSN</w:t>
      </w:r>
      <w:r>
        <w:rPr>
          <w:lang w:val="fr-CA"/>
        </w:rPr>
        <w:t>.</w:t>
      </w:r>
      <w:r w:rsidRPr="00223C6B">
        <w:rPr>
          <w:lang w:val="fr-CA"/>
        </w:rPr>
        <w:t xml:space="preserve"> REGDOC</w:t>
      </w:r>
      <w:r w:rsidRPr="00223C6B">
        <w:rPr>
          <w:lang w:val="fr-CA"/>
        </w:rPr>
        <w:noBreakHyphen/>
        <w:t xml:space="preserve">2.3.2, </w:t>
      </w:r>
      <w:hyperlink r:id="rId72" w:history="1">
        <w:r w:rsidRPr="00223C6B">
          <w:rPr>
            <w:rStyle w:val="Hyperlink"/>
            <w:i/>
            <w:iCs/>
            <w:lang w:val="fr-CA"/>
          </w:rPr>
          <w:t>Gestion des accidents</w:t>
        </w:r>
      </w:hyperlink>
      <w:r w:rsidRPr="00223C6B">
        <w:rPr>
          <w:lang w:val="fr-CA"/>
        </w:rPr>
        <w:t>, Ottawa, Canada.</w:t>
      </w:r>
    </w:p>
    <w:p w14:paraId="4219E405" w14:textId="0032DA11" w:rsidR="00B15663" w:rsidRPr="00B15663" w:rsidRDefault="00B15663" w:rsidP="0060423A">
      <w:pPr>
        <w:pStyle w:val="ListParagraph"/>
        <w:numPr>
          <w:ilvl w:val="0"/>
          <w:numId w:val="35"/>
        </w:numPr>
        <w:contextualSpacing w:val="0"/>
        <w:rPr>
          <w:lang w:val="fr-CA"/>
        </w:rPr>
      </w:pPr>
      <w:r w:rsidRPr="00223C6B">
        <w:rPr>
          <w:lang w:val="fr-CA"/>
        </w:rPr>
        <w:t>CCSN</w:t>
      </w:r>
      <w:r>
        <w:rPr>
          <w:lang w:val="fr-CA"/>
        </w:rPr>
        <w:t>.</w:t>
      </w:r>
      <w:r w:rsidRPr="00223C6B">
        <w:rPr>
          <w:lang w:val="fr-CA"/>
        </w:rPr>
        <w:t xml:space="preserve"> REGDOC</w:t>
      </w:r>
      <w:r w:rsidRPr="00223C6B">
        <w:rPr>
          <w:lang w:val="fr-CA"/>
        </w:rPr>
        <w:noBreakHyphen/>
        <w:t xml:space="preserve">2.10.1, </w:t>
      </w:r>
      <w:hyperlink r:id="rId73" w:history="1">
        <w:r w:rsidRPr="00223C6B">
          <w:rPr>
            <w:rStyle w:val="Hyperlink"/>
            <w:i/>
            <w:iCs/>
            <w:lang w:val="fr-CA"/>
          </w:rPr>
          <w:t>Préparation et intervention relatives aux urgences nucléaires</w:t>
        </w:r>
      </w:hyperlink>
      <w:r w:rsidRPr="00223C6B">
        <w:rPr>
          <w:lang w:val="fr-CA"/>
        </w:rPr>
        <w:t>, Ottawa, Canada.</w:t>
      </w:r>
    </w:p>
    <w:p w14:paraId="6F2D194B" w14:textId="77777777" w:rsidR="00A52E2A" w:rsidRPr="008C7B04" w:rsidRDefault="00A52E2A" w:rsidP="00A52E2A">
      <w:pPr>
        <w:pStyle w:val="BodyTextNoIndent"/>
        <w:rPr>
          <w:lang w:val="fr-CA"/>
        </w:rPr>
      </w:pPr>
      <w:r w:rsidRPr="008C7B04">
        <w:rPr>
          <w:lang w:val="fr-CA"/>
        </w:rPr>
        <w:br w:type="page"/>
      </w:r>
    </w:p>
    <w:p w14:paraId="30305200" w14:textId="77777777" w:rsidR="00A52E2A" w:rsidRPr="005520EA" w:rsidRDefault="00A52E2A" w:rsidP="00113A85">
      <w:pPr>
        <w:pStyle w:val="MainPageHeadingsTOC"/>
      </w:pPr>
      <w:bookmarkStart w:id="358" w:name="_Toc466874373"/>
      <w:bookmarkStart w:id="359" w:name="_Toc152766344"/>
      <w:r w:rsidRPr="005520EA">
        <w:t>Renseignements supplémentaires</w:t>
      </w:r>
      <w:bookmarkEnd w:id="358"/>
      <w:bookmarkEnd w:id="359"/>
    </w:p>
    <w:p w14:paraId="05CD94B3" w14:textId="07D0FFED" w:rsidR="00D73813" w:rsidRPr="0056605F" w:rsidRDefault="00D73813" w:rsidP="00D73813">
      <w:pPr>
        <w:pStyle w:val="BodyTextNoIndent"/>
        <w:rPr>
          <w:lang w:val="fr-CA"/>
        </w:rPr>
      </w:pPr>
      <w:r w:rsidRPr="0056605F">
        <w:rPr>
          <w:lang w:val="fr-CA"/>
        </w:rPr>
        <w:t>La CCSN</w:t>
      </w:r>
      <w:r w:rsidR="009A21CF" w:rsidRPr="0056605F">
        <w:rPr>
          <w:lang w:val="fr-CA"/>
        </w:rPr>
        <w:t xml:space="preserve"> </w:t>
      </w:r>
      <w:r w:rsidRPr="0056605F">
        <w:rPr>
          <w:lang w:val="fr-CA"/>
        </w:rPr>
        <w:t xml:space="preserve">pourrait recommander d’autres documents sur les pratiques exemplaires et les normes, comme ceux publiés par le Groupe CSA. Avec la permission du Groupe CSA, qui en est l’éditeur, toutes les normes de la CSA associées au nucléaire peuvent être </w:t>
      </w:r>
      <w:r w:rsidR="002505B7" w:rsidRPr="0056605F">
        <w:rPr>
          <w:lang w:val="fr-CA"/>
        </w:rPr>
        <w:t>consultées</w:t>
      </w:r>
      <w:r w:rsidRPr="0056605F">
        <w:rPr>
          <w:lang w:val="fr-CA"/>
        </w:rPr>
        <w:t xml:space="preserve"> gratuitement </w:t>
      </w:r>
      <w:r w:rsidR="002505B7" w:rsidRPr="0056605F">
        <w:rPr>
          <w:lang w:val="fr-CA"/>
        </w:rPr>
        <w:t>à partir</w:t>
      </w:r>
      <w:r w:rsidRPr="0056605F">
        <w:rPr>
          <w:lang w:val="fr-CA"/>
        </w:rPr>
        <w:t xml:space="preserve"> de la page Web de la CCSN « </w:t>
      </w:r>
      <w:hyperlink r:id="rId74" w:history="1">
        <w:r w:rsidRPr="0056605F">
          <w:rPr>
            <w:rStyle w:val="Hyperlink"/>
            <w:lang w:val="fr-CA"/>
          </w:rPr>
          <w:t>Comment obtenir un accès gratuit à l’ensemble des normes de la CSA associées au nucléaire</w:t>
        </w:r>
      </w:hyperlink>
      <w:r w:rsidRPr="0056605F">
        <w:rPr>
          <w:lang w:val="fr-CA"/>
        </w:rPr>
        <w:t> ».</w:t>
      </w:r>
    </w:p>
    <w:p w14:paraId="3ACE3885" w14:textId="0940B709" w:rsidR="009A21CF" w:rsidRPr="0056605F" w:rsidRDefault="00D73813" w:rsidP="00AF3C02">
      <w:pPr>
        <w:pStyle w:val="BodyTextNoIndent"/>
        <w:rPr>
          <w:lang w:val="fr-CA"/>
        </w:rPr>
      </w:pPr>
      <w:r w:rsidRPr="0056605F">
        <w:rPr>
          <w:lang w:val="fr-CA"/>
        </w:rPr>
        <w:t>Les documents suivants fournissent des renseignements supplémentaires qui pourraient être pertinents et faciliter la compréhension des exigences et de l’orientation fournis dans le présent document d’application de la réglementation :</w:t>
      </w:r>
    </w:p>
    <w:p w14:paraId="2769EF36" w14:textId="77777777" w:rsidR="0056605F" w:rsidRPr="00223C6B" w:rsidRDefault="0056605F" w:rsidP="0056605F">
      <w:pPr>
        <w:pStyle w:val="BulletList"/>
        <w:keepNext/>
        <w:numPr>
          <w:ilvl w:val="0"/>
          <w:numId w:val="8"/>
        </w:numPr>
        <w:spacing w:after="120"/>
        <w:ind w:left="1080"/>
        <w:rPr>
          <w:lang w:val="fr-CA"/>
        </w:rPr>
      </w:pPr>
      <w:r w:rsidRPr="00223C6B">
        <w:rPr>
          <w:lang w:val="fr-CA"/>
        </w:rPr>
        <w:t>Agence internationale de l’énergie atomique (AIEA)</w:t>
      </w:r>
      <w:r>
        <w:rPr>
          <w:lang w:val="fr-CA"/>
        </w:rPr>
        <w:t>.</w:t>
      </w:r>
      <w:r w:rsidRPr="00223C6B">
        <w:rPr>
          <w:lang w:val="fr-CA"/>
        </w:rPr>
        <w:t xml:space="preserve"> Collection Normes de sûreté n</w:t>
      </w:r>
      <w:r w:rsidRPr="00223C6B">
        <w:rPr>
          <w:vertAlign w:val="superscript"/>
          <w:lang w:val="fr-CA"/>
        </w:rPr>
        <w:t>o</w:t>
      </w:r>
      <w:r w:rsidRPr="00223C6B">
        <w:rPr>
          <w:lang w:val="fr-CA"/>
        </w:rPr>
        <w:t> SSG</w:t>
      </w:r>
      <w:r w:rsidRPr="00223C6B">
        <w:rPr>
          <w:lang w:val="fr-CA"/>
        </w:rPr>
        <w:noBreakHyphen/>
        <w:t xml:space="preserve">70, </w:t>
      </w:r>
      <w:hyperlink r:id="rId75" w:history="1">
        <w:r w:rsidRPr="00223C6B">
          <w:rPr>
            <w:rStyle w:val="Hyperlink"/>
            <w:i/>
            <w:iCs/>
            <w:lang w:val="fr-CA"/>
          </w:rPr>
          <w:t>Limites et conditions d’exploitation et procédures de conduite des centrales nucléaires</w:t>
        </w:r>
      </w:hyperlink>
      <w:r w:rsidRPr="00223C6B">
        <w:rPr>
          <w:lang w:val="fr-CA"/>
        </w:rPr>
        <w:t>, Vienne, Autriche, 2022.</w:t>
      </w:r>
    </w:p>
    <w:p w14:paraId="260ABF4A" w14:textId="77777777" w:rsidR="0056605F" w:rsidRPr="00223C6B" w:rsidRDefault="0056605F" w:rsidP="0056605F">
      <w:pPr>
        <w:pStyle w:val="BulletList"/>
        <w:keepNext/>
        <w:numPr>
          <w:ilvl w:val="0"/>
          <w:numId w:val="8"/>
        </w:numPr>
        <w:spacing w:after="120"/>
        <w:ind w:left="1080"/>
        <w:rPr>
          <w:lang w:val="fr-CA"/>
        </w:rPr>
      </w:pPr>
      <w:r w:rsidRPr="00223C6B">
        <w:rPr>
          <w:lang w:val="fr-CA"/>
        </w:rPr>
        <w:t>AIEA</w:t>
      </w:r>
      <w:r>
        <w:rPr>
          <w:lang w:val="fr-CA"/>
        </w:rPr>
        <w:t>.</w:t>
      </w:r>
      <w:r w:rsidRPr="00223C6B">
        <w:rPr>
          <w:lang w:val="fr-CA"/>
        </w:rPr>
        <w:t xml:space="preserve"> Collection Normes de sûreté n</w:t>
      </w:r>
      <w:r w:rsidRPr="00223C6B">
        <w:rPr>
          <w:vertAlign w:val="superscript"/>
          <w:lang w:val="fr-CA"/>
        </w:rPr>
        <w:t>o </w:t>
      </w:r>
      <w:r w:rsidRPr="00223C6B">
        <w:rPr>
          <w:lang w:val="fr-CA"/>
        </w:rPr>
        <w:t>SSG</w:t>
      </w:r>
      <w:r w:rsidRPr="00223C6B">
        <w:rPr>
          <w:lang w:val="fr-CA"/>
        </w:rPr>
        <w:noBreakHyphen/>
        <w:t xml:space="preserve">72, </w:t>
      </w:r>
      <w:hyperlink r:id="rId76" w:history="1">
        <w:r w:rsidRPr="00223C6B">
          <w:rPr>
            <w:rStyle w:val="Hyperlink"/>
            <w:i/>
            <w:iCs/>
            <w:lang w:val="fr-CA"/>
          </w:rPr>
          <w:t>L’organisme exploitant des centrales nucléaires</w:t>
        </w:r>
      </w:hyperlink>
      <w:r w:rsidRPr="00223C6B">
        <w:rPr>
          <w:lang w:val="fr-CA"/>
        </w:rPr>
        <w:t>, Vienne, Autriche, 2022.</w:t>
      </w:r>
    </w:p>
    <w:p w14:paraId="0A376723" w14:textId="5F5C88CA" w:rsidR="00DB529A" w:rsidRPr="006107E5" w:rsidRDefault="006107E5" w:rsidP="00DB529A">
      <w:pPr>
        <w:pStyle w:val="BodyTextNoIndent"/>
        <w:keepNext/>
        <w:spacing w:after="120"/>
        <w:rPr>
          <w:lang w:val="fr-CA"/>
        </w:rPr>
      </w:pPr>
      <w:r w:rsidRPr="0056605F">
        <w:rPr>
          <w:lang w:val="fr-CA"/>
        </w:rPr>
        <w:t xml:space="preserve">Les documents suivants fournissent des renseignements supplémentaires qui pourraient être pertinents et faciliter la compréhension des exigences et de l’orientation </w:t>
      </w:r>
      <w:r>
        <w:rPr>
          <w:lang w:val="fr-CA"/>
        </w:rPr>
        <w:t>relatives aux programmes d’exploitation et au contrôle chimique à différentes phases du cycle de vie d’une installation dotée de réacteurs </w:t>
      </w:r>
      <w:r w:rsidRPr="0082259E">
        <w:rPr>
          <w:lang w:val="fr-CA"/>
        </w:rPr>
        <w:t>:</w:t>
      </w:r>
    </w:p>
    <w:p w14:paraId="0A7C648A" w14:textId="0ABD122D" w:rsidR="00DB529A" w:rsidRPr="00DB529A" w:rsidRDefault="00DB529A" w:rsidP="00DB529A">
      <w:pPr>
        <w:pStyle w:val="BulletList"/>
        <w:numPr>
          <w:ilvl w:val="0"/>
          <w:numId w:val="8"/>
        </w:numPr>
        <w:spacing w:after="120"/>
        <w:ind w:left="1077" w:hanging="357"/>
        <w:rPr>
          <w:lang w:val="fr-CA"/>
        </w:rPr>
      </w:pPr>
      <w:r w:rsidRPr="00223C6B">
        <w:rPr>
          <w:lang w:val="fr-CA"/>
        </w:rPr>
        <w:t>Commission canadienne de sûreté nucléaire (CCSN)</w:t>
      </w:r>
      <w:r>
        <w:rPr>
          <w:lang w:val="fr-CA"/>
        </w:rPr>
        <w:t>.</w:t>
      </w:r>
      <w:r w:rsidRPr="00DB529A">
        <w:rPr>
          <w:lang w:val="fr-CA"/>
        </w:rPr>
        <w:t xml:space="preserve"> REGDOC</w:t>
      </w:r>
      <w:r w:rsidRPr="00DB529A">
        <w:rPr>
          <w:lang w:val="fr-CA"/>
        </w:rPr>
        <w:noBreakHyphen/>
        <w:t xml:space="preserve">1.1.2, </w:t>
      </w:r>
      <w:hyperlink r:id="rId77" w:history="1">
        <w:r w:rsidRPr="00DB529A">
          <w:rPr>
            <w:rStyle w:val="Hyperlink"/>
            <w:i/>
            <w:iCs/>
            <w:lang w:val="fr-CA"/>
          </w:rPr>
          <w:t>Guide de présentation d’une demande de permis : Permis de construction d’une installation dotée de réacteurs</w:t>
        </w:r>
      </w:hyperlink>
      <w:r w:rsidRPr="00DB529A">
        <w:rPr>
          <w:lang w:val="fr-CA"/>
        </w:rPr>
        <w:t>, Ottawa, Canada.</w:t>
      </w:r>
    </w:p>
    <w:p w14:paraId="6129A5CC" w14:textId="3C30B43A" w:rsidR="00DB529A" w:rsidRPr="00DB529A" w:rsidRDefault="00DB529A" w:rsidP="00DB529A">
      <w:pPr>
        <w:pStyle w:val="BulletListLastItem"/>
        <w:numPr>
          <w:ilvl w:val="0"/>
          <w:numId w:val="8"/>
        </w:numPr>
        <w:ind w:left="1080"/>
        <w:rPr>
          <w:lang w:val="fr-CA"/>
        </w:rPr>
      </w:pPr>
      <w:r w:rsidRPr="00DC6D00">
        <w:rPr>
          <w:lang w:val="fr-CA"/>
        </w:rPr>
        <w:t xml:space="preserve">CCSN. </w:t>
      </w:r>
      <w:r w:rsidRPr="00DB529A">
        <w:rPr>
          <w:lang w:val="fr-CA"/>
        </w:rPr>
        <w:t>REGDOC</w:t>
      </w:r>
      <w:r w:rsidRPr="00DB529A">
        <w:rPr>
          <w:lang w:val="fr-CA"/>
        </w:rPr>
        <w:noBreakHyphen/>
        <w:t xml:space="preserve">1.1.3, </w:t>
      </w:r>
      <w:hyperlink r:id="rId78" w:history="1">
        <w:r w:rsidRPr="00DB529A">
          <w:rPr>
            <w:rStyle w:val="Hyperlink"/>
            <w:i/>
            <w:iCs/>
            <w:lang w:val="fr-CA"/>
          </w:rPr>
          <w:t>Guide de présentation d'une demande de permis : Permis d'exploitation d'une centrale nucléaire</w:t>
        </w:r>
      </w:hyperlink>
      <w:r w:rsidRPr="00DB529A">
        <w:rPr>
          <w:lang w:val="fr-CA"/>
        </w:rPr>
        <w:t>, Ottawa, Canada.</w:t>
      </w:r>
    </w:p>
    <w:p w14:paraId="51DCF0E3" w14:textId="77777777" w:rsidR="00A52E2A" w:rsidRPr="00DB529A" w:rsidRDefault="00A52E2A" w:rsidP="00A52E2A">
      <w:pPr>
        <w:pStyle w:val="BodyTextNoIndent"/>
        <w:rPr>
          <w:lang w:val="fr-CA"/>
        </w:rPr>
      </w:pPr>
      <w:r w:rsidRPr="00DB529A">
        <w:rPr>
          <w:lang w:val="fr-CA"/>
        </w:rPr>
        <w:br w:type="page"/>
      </w:r>
    </w:p>
    <w:p w14:paraId="241210C7" w14:textId="77777777" w:rsidR="00A52E2A" w:rsidRPr="00102C33" w:rsidRDefault="00A52E2A" w:rsidP="00113A85">
      <w:pPr>
        <w:pStyle w:val="MainPageHeadingsNOTOC"/>
      </w:pPr>
      <w:r w:rsidRPr="00102C33">
        <w:t>Séries de documents d’application de la réglementation de la CCSN</w:t>
      </w:r>
    </w:p>
    <w:p w14:paraId="641A73BD" w14:textId="77777777" w:rsidR="00A52E2A" w:rsidRPr="00102C33" w:rsidRDefault="00A52E2A" w:rsidP="00A52E2A">
      <w:pPr>
        <w:pStyle w:val="BodyTextNoIndent"/>
        <w:rPr>
          <w:lang w:val="fr-CA"/>
        </w:rPr>
      </w:pPr>
      <w:r w:rsidRPr="00102C33">
        <w:rPr>
          <w:lang w:val="fr-CA"/>
        </w:rPr>
        <w:t xml:space="preserve">Les installations et activités du secteur nucléaire du Canada sont réglementées par la CCSN. En plus de la </w:t>
      </w:r>
      <w:r w:rsidRPr="00102C33">
        <w:rPr>
          <w:i/>
          <w:lang w:val="fr-CA"/>
        </w:rPr>
        <w:t>Loi sur la sûreté et la réglementation nucléaires</w:t>
      </w:r>
      <w:r w:rsidRPr="00102C33">
        <w:rPr>
          <w:lang w:val="fr-CA"/>
        </w:rPr>
        <w:t xml:space="preserve"> et de ses règlements d’application, il pourrait y avoir des exigences en matière de conformité à d’autres outils de réglementation, comme les documents d’application de la réglementation ou les normes.</w:t>
      </w:r>
    </w:p>
    <w:p w14:paraId="65D70482" w14:textId="727CDBA7" w:rsidR="00A52E2A" w:rsidRPr="00102C33" w:rsidRDefault="00A52E2A" w:rsidP="00A52E2A">
      <w:pPr>
        <w:pStyle w:val="BodyTextNoIndent"/>
        <w:rPr>
          <w:lang w:val="fr-CA"/>
        </w:rPr>
      </w:pPr>
      <w:r w:rsidRPr="00102C33">
        <w:rPr>
          <w:lang w:val="fr-CA"/>
        </w:rPr>
        <w:t xml:space="preserve">Les documents d’application de la réglementation préparés par la CCSN </w:t>
      </w:r>
      <w:r w:rsidR="003A12F7" w:rsidRPr="008B75EE">
        <w:rPr>
          <w:lang w:val="fr-CA"/>
        </w:rPr>
        <w:t>sont classés en fonction des</w:t>
      </w:r>
      <w:r w:rsidR="007B06EB" w:rsidRPr="00102C33">
        <w:rPr>
          <w:lang w:val="fr-CA"/>
        </w:rPr>
        <w:t xml:space="preserve"> </w:t>
      </w:r>
      <w:r w:rsidRPr="00102C33">
        <w:rPr>
          <w:lang w:val="fr-CA"/>
        </w:rPr>
        <w:t>catégories et des séries suivantes :</w:t>
      </w:r>
    </w:p>
    <w:p w14:paraId="04D4C9D2" w14:textId="77777777" w:rsidR="00A52E2A" w:rsidRPr="008B75EE" w:rsidRDefault="00A52E2A" w:rsidP="00A52E2A">
      <w:pPr>
        <w:pStyle w:val="ListParagraph"/>
        <w:keepNext/>
        <w:numPr>
          <w:ilvl w:val="0"/>
          <w:numId w:val="23"/>
        </w:numPr>
        <w:spacing w:after="0" w:line="276" w:lineRule="auto"/>
        <w:rPr>
          <w:b/>
          <w:lang w:val="fr-CA"/>
        </w:rPr>
      </w:pPr>
      <w:r w:rsidRPr="008B75EE">
        <w:rPr>
          <w:b/>
          <w:lang w:val="fr-CA"/>
        </w:rPr>
        <w:t>Installations et activités réglementées</w:t>
      </w:r>
    </w:p>
    <w:p w14:paraId="724F218D" w14:textId="77777777" w:rsidR="00A52E2A" w:rsidRPr="00102C33" w:rsidRDefault="00A52E2A" w:rsidP="00A52E2A">
      <w:pPr>
        <w:pStyle w:val="BodyTextNoIndent"/>
        <w:keepNext/>
        <w:spacing w:after="0"/>
        <w:rPr>
          <w:lang w:val="fr-CA"/>
        </w:rPr>
      </w:pPr>
      <w:r w:rsidRPr="00102C33">
        <w:rPr>
          <w:lang w:val="fr-CA"/>
        </w:rPr>
        <w:t>Séries</w:t>
      </w:r>
      <w:r w:rsidRPr="00102C33">
        <w:rPr>
          <w:lang w:val="fr-CA"/>
        </w:rPr>
        <w:tab/>
        <w:t>1.1</w:t>
      </w:r>
      <w:r w:rsidRPr="00102C33">
        <w:rPr>
          <w:lang w:val="fr-CA"/>
        </w:rPr>
        <w:tab/>
        <w:t>Installations dotées de réacteurs</w:t>
      </w:r>
    </w:p>
    <w:p w14:paraId="60C71B20" w14:textId="77777777" w:rsidR="00A52E2A" w:rsidRPr="008B75EE" w:rsidRDefault="00A52E2A" w:rsidP="00A52E2A">
      <w:pPr>
        <w:pStyle w:val="BodyText"/>
        <w:keepNext/>
        <w:spacing w:after="0"/>
        <w:rPr>
          <w:lang w:val="fr-CA"/>
        </w:rPr>
      </w:pPr>
      <w:r w:rsidRPr="008B75EE">
        <w:rPr>
          <w:lang w:val="fr-CA"/>
        </w:rPr>
        <w:t>1.2</w:t>
      </w:r>
      <w:r w:rsidRPr="008B75EE">
        <w:rPr>
          <w:lang w:val="fr-CA"/>
        </w:rPr>
        <w:tab/>
        <w:t>Installations de catégorie IB</w:t>
      </w:r>
    </w:p>
    <w:p w14:paraId="51689309" w14:textId="77777777" w:rsidR="00A52E2A" w:rsidRPr="00102C33" w:rsidRDefault="00A52E2A" w:rsidP="00A52E2A">
      <w:pPr>
        <w:pStyle w:val="BodyText"/>
        <w:keepNext/>
        <w:spacing w:after="0"/>
        <w:rPr>
          <w:lang w:val="fr-CA"/>
        </w:rPr>
      </w:pPr>
      <w:r w:rsidRPr="00102C33">
        <w:rPr>
          <w:lang w:val="fr-CA"/>
        </w:rPr>
        <w:t>1.3</w:t>
      </w:r>
      <w:r w:rsidRPr="00102C33">
        <w:rPr>
          <w:lang w:val="fr-CA"/>
        </w:rPr>
        <w:tab/>
        <w:t>Mines et usines de concentration d’uranium</w:t>
      </w:r>
    </w:p>
    <w:p w14:paraId="33DD9623" w14:textId="77777777" w:rsidR="00A52E2A" w:rsidRPr="00102C33" w:rsidRDefault="00A52E2A" w:rsidP="00A52E2A">
      <w:pPr>
        <w:pStyle w:val="BodyText"/>
        <w:keepNext/>
        <w:spacing w:after="0"/>
        <w:rPr>
          <w:lang w:val="fr-CA"/>
        </w:rPr>
      </w:pPr>
      <w:r w:rsidRPr="00102C33">
        <w:rPr>
          <w:lang w:val="fr-CA"/>
        </w:rPr>
        <w:t>1.4</w:t>
      </w:r>
      <w:r w:rsidRPr="00102C33">
        <w:rPr>
          <w:lang w:val="fr-CA"/>
        </w:rPr>
        <w:tab/>
        <w:t>Installations de catégorie II</w:t>
      </w:r>
    </w:p>
    <w:p w14:paraId="56D59CB2" w14:textId="77777777" w:rsidR="00A52E2A" w:rsidRPr="00102C33" w:rsidRDefault="00A52E2A" w:rsidP="00A52E2A">
      <w:pPr>
        <w:pStyle w:val="BodyText"/>
        <w:keepNext/>
        <w:spacing w:after="0"/>
        <w:rPr>
          <w:lang w:val="fr-CA"/>
        </w:rPr>
      </w:pPr>
      <w:r w:rsidRPr="00102C33">
        <w:rPr>
          <w:lang w:val="fr-CA"/>
        </w:rPr>
        <w:t>1.5</w:t>
      </w:r>
      <w:r w:rsidRPr="00102C33">
        <w:rPr>
          <w:lang w:val="fr-CA"/>
        </w:rPr>
        <w:tab/>
        <w:t>Homologation d’équipement réglementé</w:t>
      </w:r>
    </w:p>
    <w:p w14:paraId="5BE94CA7" w14:textId="77777777" w:rsidR="00A52E2A" w:rsidRPr="00102C33" w:rsidRDefault="00A52E2A" w:rsidP="00A52E2A">
      <w:pPr>
        <w:pStyle w:val="BodyText"/>
        <w:rPr>
          <w:lang w:val="fr-CA"/>
        </w:rPr>
      </w:pPr>
      <w:r w:rsidRPr="00102C33">
        <w:rPr>
          <w:lang w:val="fr-CA"/>
        </w:rPr>
        <w:t>1.6</w:t>
      </w:r>
      <w:r w:rsidRPr="00102C33">
        <w:rPr>
          <w:lang w:val="fr-CA"/>
        </w:rPr>
        <w:tab/>
        <w:t>Substances nucléaires et appareils à rayonnement</w:t>
      </w:r>
    </w:p>
    <w:p w14:paraId="202E8367" w14:textId="77777777" w:rsidR="00A52E2A" w:rsidRPr="00102C33" w:rsidRDefault="00A52E2A" w:rsidP="00A52E2A">
      <w:pPr>
        <w:pStyle w:val="ListParagraph"/>
        <w:keepNext/>
        <w:numPr>
          <w:ilvl w:val="0"/>
          <w:numId w:val="23"/>
        </w:numPr>
        <w:spacing w:before="240" w:after="0" w:line="276" w:lineRule="auto"/>
        <w:rPr>
          <w:b/>
          <w:lang w:val="fr-CA"/>
        </w:rPr>
      </w:pPr>
      <w:r w:rsidRPr="00102C33">
        <w:rPr>
          <w:b/>
          <w:lang w:val="fr-CA"/>
        </w:rPr>
        <w:t>Domaines de sûreté et de réglementation</w:t>
      </w:r>
    </w:p>
    <w:p w14:paraId="3373CD00" w14:textId="77777777" w:rsidR="00A52E2A" w:rsidRPr="00102C33" w:rsidRDefault="00A52E2A" w:rsidP="00A52E2A">
      <w:pPr>
        <w:pStyle w:val="BodyTextNoIndent"/>
        <w:keepNext/>
        <w:spacing w:after="0"/>
        <w:rPr>
          <w:lang w:val="fr-CA"/>
        </w:rPr>
      </w:pPr>
      <w:r w:rsidRPr="00102C33">
        <w:rPr>
          <w:lang w:val="fr-CA"/>
        </w:rPr>
        <w:t>Séries</w:t>
      </w:r>
      <w:r w:rsidRPr="00102C33">
        <w:rPr>
          <w:lang w:val="fr-CA"/>
        </w:rPr>
        <w:tab/>
        <w:t>2.1</w:t>
      </w:r>
      <w:r w:rsidRPr="00102C33">
        <w:rPr>
          <w:lang w:val="fr-CA"/>
        </w:rPr>
        <w:tab/>
        <w:t>Système de gestion</w:t>
      </w:r>
    </w:p>
    <w:p w14:paraId="7C8C56E2" w14:textId="77777777" w:rsidR="00A52E2A" w:rsidRPr="00102C33" w:rsidRDefault="00A52E2A" w:rsidP="00A52E2A">
      <w:pPr>
        <w:pStyle w:val="BodyText"/>
        <w:keepNext/>
        <w:spacing w:after="0"/>
        <w:rPr>
          <w:lang w:val="fr-CA"/>
        </w:rPr>
      </w:pPr>
      <w:r w:rsidRPr="00102C33">
        <w:rPr>
          <w:lang w:val="fr-CA"/>
        </w:rPr>
        <w:t>2.2</w:t>
      </w:r>
      <w:r w:rsidRPr="00102C33">
        <w:rPr>
          <w:lang w:val="fr-CA"/>
        </w:rPr>
        <w:tab/>
        <w:t>Gestion de la performance humaine</w:t>
      </w:r>
    </w:p>
    <w:p w14:paraId="2EEE0CCC" w14:textId="77777777" w:rsidR="00A52E2A" w:rsidRPr="00102C33" w:rsidRDefault="00A52E2A" w:rsidP="00A52E2A">
      <w:pPr>
        <w:pStyle w:val="BodyText"/>
        <w:keepNext/>
        <w:spacing w:after="0"/>
        <w:rPr>
          <w:lang w:val="fr-CA"/>
        </w:rPr>
      </w:pPr>
      <w:r w:rsidRPr="00102C33">
        <w:rPr>
          <w:lang w:val="fr-CA"/>
        </w:rPr>
        <w:t>2.3</w:t>
      </w:r>
      <w:r w:rsidRPr="00102C33">
        <w:rPr>
          <w:lang w:val="fr-CA"/>
        </w:rPr>
        <w:tab/>
        <w:t>Conduite de l’exploitation</w:t>
      </w:r>
    </w:p>
    <w:p w14:paraId="7D6DA8C6" w14:textId="77777777" w:rsidR="00A52E2A" w:rsidRPr="00102C33" w:rsidRDefault="00A52E2A" w:rsidP="00A52E2A">
      <w:pPr>
        <w:pStyle w:val="BodyText"/>
        <w:keepNext/>
        <w:spacing w:after="0"/>
        <w:rPr>
          <w:lang w:val="fr-CA"/>
        </w:rPr>
      </w:pPr>
      <w:r w:rsidRPr="00102C33">
        <w:rPr>
          <w:lang w:val="fr-CA"/>
        </w:rPr>
        <w:t>2.4</w:t>
      </w:r>
      <w:r w:rsidRPr="00102C33">
        <w:rPr>
          <w:lang w:val="fr-CA"/>
        </w:rPr>
        <w:tab/>
        <w:t>Analyse de la sûreté</w:t>
      </w:r>
    </w:p>
    <w:p w14:paraId="72F0BCBF" w14:textId="77777777" w:rsidR="00A52E2A" w:rsidRPr="00102C33" w:rsidRDefault="00A52E2A" w:rsidP="00A52E2A">
      <w:pPr>
        <w:pStyle w:val="BodyText"/>
        <w:keepNext/>
        <w:spacing w:after="0"/>
        <w:rPr>
          <w:lang w:val="fr-CA"/>
        </w:rPr>
      </w:pPr>
      <w:r w:rsidRPr="00102C33">
        <w:rPr>
          <w:lang w:val="fr-CA"/>
        </w:rPr>
        <w:t>2.5</w:t>
      </w:r>
      <w:r w:rsidRPr="00102C33">
        <w:rPr>
          <w:lang w:val="fr-CA"/>
        </w:rPr>
        <w:tab/>
        <w:t>Conception matérielle</w:t>
      </w:r>
    </w:p>
    <w:p w14:paraId="1885DF4E" w14:textId="77777777" w:rsidR="00A52E2A" w:rsidRPr="00102C33" w:rsidRDefault="00A52E2A" w:rsidP="00A52E2A">
      <w:pPr>
        <w:pStyle w:val="BodyText"/>
        <w:keepNext/>
        <w:spacing w:after="0"/>
        <w:rPr>
          <w:lang w:val="fr-CA"/>
        </w:rPr>
      </w:pPr>
      <w:r w:rsidRPr="00102C33">
        <w:rPr>
          <w:lang w:val="fr-CA"/>
        </w:rPr>
        <w:t>2.6</w:t>
      </w:r>
      <w:r w:rsidRPr="00102C33">
        <w:rPr>
          <w:lang w:val="fr-CA"/>
        </w:rPr>
        <w:tab/>
        <w:t>Aptitude fonctionnelle</w:t>
      </w:r>
    </w:p>
    <w:p w14:paraId="62D466CF" w14:textId="77777777" w:rsidR="00A52E2A" w:rsidRPr="00102C33" w:rsidRDefault="00A52E2A" w:rsidP="00A52E2A">
      <w:pPr>
        <w:pStyle w:val="BodyText"/>
        <w:keepNext/>
        <w:spacing w:after="0"/>
        <w:rPr>
          <w:lang w:val="fr-CA"/>
        </w:rPr>
      </w:pPr>
      <w:r w:rsidRPr="00102C33">
        <w:rPr>
          <w:lang w:val="fr-CA"/>
        </w:rPr>
        <w:t>2.7</w:t>
      </w:r>
      <w:r w:rsidRPr="00102C33">
        <w:rPr>
          <w:lang w:val="fr-CA"/>
        </w:rPr>
        <w:tab/>
        <w:t>Radioprotection</w:t>
      </w:r>
    </w:p>
    <w:p w14:paraId="09790B3D" w14:textId="77777777" w:rsidR="00A52E2A" w:rsidRPr="00102C33" w:rsidRDefault="00A52E2A" w:rsidP="00A52E2A">
      <w:pPr>
        <w:pStyle w:val="BodyText"/>
        <w:keepNext/>
        <w:spacing w:after="0"/>
        <w:rPr>
          <w:lang w:val="fr-CA"/>
        </w:rPr>
      </w:pPr>
      <w:r w:rsidRPr="00102C33">
        <w:rPr>
          <w:lang w:val="fr-CA"/>
        </w:rPr>
        <w:t>2.8</w:t>
      </w:r>
      <w:r w:rsidRPr="00102C33">
        <w:rPr>
          <w:lang w:val="fr-CA"/>
        </w:rPr>
        <w:tab/>
        <w:t>Santé et sécurité classiques</w:t>
      </w:r>
    </w:p>
    <w:p w14:paraId="03B0D631" w14:textId="77777777" w:rsidR="00A52E2A" w:rsidRPr="00102C33" w:rsidRDefault="00A52E2A" w:rsidP="00A52E2A">
      <w:pPr>
        <w:pStyle w:val="BodyText"/>
        <w:keepNext/>
        <w:spacing w:after="0"/>
        <w:rPr>
          <w:lang w:val="fr-CA"/>
        </w:rPr>
      </w:pPr>
      <w:r w:rsidRPr="00102C33">
        <w:rPr>
          <w:lang w:val="fr-CA"/>
        </w:rPr>
        <w:t>2.9</w:t>
      </w:r>
      <w:r w:rsidRPr="00102C33">
        <w:rPr>
          <w:lang w:val="fr-CA"/>
        </w:rPr>
        <w:tab/>
        <w:t>Protection de l’environnement</w:t>
      </w:r>
    </w:p>
    <w:p w14:paraId="3215BDAA" w14:textId="77777777" w:rsidR="00A52E2A" w:rsidRPr="00102C33" w:rsidRDefault="00A52E2A" w:rsidP="00A52E2A">
      <w:pPr>
        <w:pStyle w:val="BodyText"/>
        <w:keepNext/>
        <w:spacing w:after="0"/>
        <w:rPr>
          <w:lang w:val="fr-CA"/>
        </w:rPr>
      </w:pPr>
      <w:r w:rsidRPr="00102C33">
        <w:rPr>
          <w:lang w:val="fr-CA"/>
        </w:rPr>
        <w:t>2.10</w:t>
      </w:r>
      <w:r w:rsidRPr="00102C33">
        <w:rPr>
          <w:lang w:val="fr-CA"/>
        </w:rPr>
        <w:tab/>
        <w:t>Gestion des urgences et protection-incendie</w:t>
      </w:r>
    </w:p>
    <w:p w14:paraId="0719EE84" w14:textId="77777777" w:rsidR="00A52E2A" w:rsidRPr="00102C33" w:rsidRDefault="00A52E2A" w:rsidP="00A52E2A">
      <w:pPr>
        <w:pStyle w:val="BodyText"/>
        <w:keepNext/>
        <w:spacing w:after="0"/>
        <w:rPr>
          <w:lang w:val="fr-CA"/>
        </w:rPr>
      </w:pPr>
      <w:r w:rsidRPr="00102C33">
        <w:rPr>
          <w:lang w:val="fr-CA"/>
        </w:rPr>
        <w:t>2.11</w:t>
      </w:r>
      <w:r w:rsidRPr="00102C33">
        <w:rPr>
          <w:lang w:val="fr-CA"/>
        </w:rPr>
        <w:tab/>
        <w:t>Gestion des déchets</w:t>
      </w:r>
    </w:p>
    <w:p w14:paraId="08DFE392" w14:textId="77777777" w:rsidR="00A52E2A" w:rsidRPr="00102C33" w:rsidRDefault="00A52E2A" w:rsidP="00A52E2A">
      <w:pPr>
        <w:pStyle w:val="BodyText"/>
        <w:keepNext/>
        <w:spacing w:after="0"/>
        <w:rPr>
          <w:lang w:val="fr-CA"/>
        </w:rPr>
      </w:pPr>
      <w:r w:rsidRPr="00102C33">
        <w:rPr>
          <w:lang w:val="fr-CA"/>
        </w:rPr>
        <w:t>2.12</w:t>
      </w:r>
      <w:r w:rsidRPr="00102C33">
        <w:rPr>
          <w:lang w:val="fr-CA"/>
        </w:rPr>
        <w:tab/>
        <w:t>Sécurité</w:t>
      </w:r>
    </w:p>
    <w:p w14:paraId="102A1290" w14:textId="77777777" w:rsidR="00A52E2A" w:rsidRPr="00102C33" w:rsidRDefault="00A52E2A" w:rsidP="00A52E2A">
      <w:pPr>
        <w:pStyle w:val="BodyText"/>
        <w:keepNext/>
        <w:spacing w:after="0"/>
        <w:rPr>
          <w:lang w:val="fr-CA"/>
        </w:rPr>
      </w:pPr>
      <w:r w:rsidRPr="00102C33">
        <w:rPr>
          <w:lang w:val="fr-CA"/>
        </w:rPr>
        <w:t>2.13</w:t>
      </w:r>
      <w:r w:rsidRPr="00102C33">
        <w:rPr>
          <w:lang w:val="fr-CA"/>
        </w:rPr>
        <w:tab/>
        <w:t>Garanties et non-prolifération</w:t>
      </w:r>
    </w:p>
    <w:p w14:paraId="3916CC78" w14:textId="77777777" w:rsidR="00A52E2A" w:rsidRPr="008B75EE" w:rsidRDefault="00A52E2A" w:rsidP="00A52E2A">
      <w:pPr>
        <w:pStyle w:val="BodyText"/>
        <w:rPr>
          <w:lang w:val="fr-CA"/>
        </w:rPr>
      </w:pPr>
      <w:r w:rsidRPr="008B75EE">
        <w:rPr>
          <w:lang w:val="fr-CA"/>
        </w:rPr>
        <w:t>2.14</w:t>
      </w:r>
      <w:r w:rsidRPr="008B75EE">
        <w:rPr>
          <w:lang w:val="fr-CA"/>
        </w:rPr>
        <w:tab/>
        <w:t>Emballage et transport</w:t>
      </w:r>
    </w:p>
    <w:p w14:paraId="3AAEED3D" w14:textId="77777777" w:rsidR="00A52E2A" w:rsidRPr="008B75EE" w:rsidRDefault="00A52E2A" w:rsidP="00A52E2A">
      <w:pPr>
        <w:pStyle w:val="ListParagraph"/>
        <w:keepNext/>
        <w:numPr>
          <w:ilvl w:val="0"/>
          <w:numId w:val="23"/>
        </w:numPr>
        <w:spacing w:after="0" w:line="276" w:lineRule="auto"/>
        <w:rPr>
          <w:b/>
          <w:lang w:val="fr-CA"/>
        </w:rPr>
      </w:pPr>
      <w:r w:rsidRPr="008B75EE">
        <w:rPr>
          <w:b/>
          <w:lang w:val="fr-CA"/>
        </w:rPr>
        <w:t>Autres domaines de réglementation</w:t>
      </w:r>
    </w:p>
    <w:p w14:paraId="63D0083D" w14:textId="77777777" w:rsidR="00A52E2A" w:rsidRPr="00102C33" w:rsidRDefault="00A52E2A" w:rsidP="00A52E2A">
      <w:pPr>
        <w:pStyle w:val="BodyTextNoIndent"/>
        <w:keepNext/>
        <w:spacing w:after="0"/>
        <w:rPr>
          <w:lang w:val="fr-CA"/>
        </w:rPr>
      </w:pPr>
      <w:r w:rsidRPr="00102C33">
        <w:rPr>
          <w:lang w:val="fr-CA"/>
        </w:rPr>
        <w:t>Séries</w:t>
      </w:r>
      <w:r w:rsidRPr="00102C33">
        <w:rPr>
          <w:lang w:val="fr-CA"/>
        </w:rPr>
        <w:tab/>
        <w:t>3.1</w:t>
      </w:r>
      <w:r w:rsidRPr="00102C33">
        <w:rPr>
          <w:lang w:val="fr-CA"/>
        </w:rPr>
        <w:tab/>
        <w:t>Exigences relatives à la production de rapports</w:t>
      </w:r>
    </w:p>
    <w:p w14:paraId="3ED8E626" w14:textId="77777777" w:rsidR="00A52E2A" w:rsidRPr="00102C33" w:rsidRDefault="00A52E2A" w:rsidP="00A52E2A">
      <w:pPr>
        <w:pStyle w:val="BodyText"/>
        <w:keepNext/>
        <w:spacing w:after="0"/>
        <w:rPr>
          <w:lang w:val="fr-CA"/>
        </w:rPr>
      </w:pPr>
      <w:r w:rsidRPr="00102C33">
        <w:rPr>
          <w:lang w:val="fr-CA"/>
        </w:rPr>
        <w:t>3.2</w:t>
      </w:r>
      <w:r w:rsidRPr="00102C33">
        <w:rPr>
          <w:lang w:val="fr-CA"/>
        </w:rPr>
        <w:tab/>
        <w:t>Mobilisation du public et des Autochtones</w:t>
      </w:r>
    </w:p>
    <w:p w14:paraId="22021F6A" w14:textId="77777777" w:rsidR="00A52E2A" w:rsidRPr="00102C33" w:rsidRDefault="00A52E2A" w:rsidP="00A52E2A">
      <w:pPr>
        <w:pStyle w:val="BodyText"/>
        <w:keepNext/>
        <w:spacing w:after="0"/>
        <w:rPr>
          <w:lang w:val="fr-CA"/>
        </w:rPr>
      </w:pPr>
      <w:r w:rsidRPr="00102C33">
        <w:rPr>
          <w:lang w:val="fr-CA"/>
        </w:rPr>
        <w:t>3.3</w:t>
      </w:r>
      <w:r w:rsidRPr="00102C33">
        <w:rPr>
          <w:lang w:val="fr-CA"/>
        </w:rPr>
        <w:tab/>
        <w:t>Garanties financières</w:t>
      </w:r>
    </w:p>
    <w:p w14:paraId="467BF6A8" w14:textId="27A934CF" w:rsidR="00A52E2A" w:rsidRPr="00102C33" w:rsidRDefault="00A52E2A" w:rsidP="00A52E2A">
      <w:pPr>
        <w:pStyle w:val="BodyText"/>
        <w:keepNext/>
        <w:spacing w:after="0"/>
        <w:rPr>
          <w:lang w:val="fr-CA"/>
        </w:rPr>
      </w:pPr>
      <w:r w:rsidRPr="00102C33">
        <w:rPr>
          <w:lang w:val="fr-CA"/>
        </w:rPr>
        <w:t>3.4</w:t>
      </w:r>
      <w:r w:rsidRPr="00102C33">
        <w:rPr>
          <w:lang w:val="fr-CA"/>
        </w:rPr>
        <w:tab/>
      </w:r>
      <w:r w:rsidR="003A12F7" w:rsidRPr="00102C33">
        <w:rPr>
          <w:lang w:val="fr-CA"/>
        </w:rPr>
        <w:t xml:space="preserve">Séances </w:t>
      </w:r>
      <w:r w:rsidRPr="00102C33">
        <w:rPr>
          <w:lang w:val="fr-CA"/>
        </w:rPr>
        <w:t>de la Commission</w:t>
      </w:r>
    </w:p>
    <w:p w14:paraId="1CB25A02" w14:textId="77777777" w:rsidR="00A52E2A" w:rsidRPr="00102C33" w:rsidRDefault="00A52E2A" w:rsidP="00A52E2A">
      <w:pPr>
        <w:pStyle w:val="BodyText"/>
        <w:keepNext/>
        <w:spacing w:after="0"/>
        <w:rPr>
          <w:lang w:val="fr-CA"/>
        </w:rPr>
      </w:pPr>
      <w:r w:rsidRPr="00102C33">
        <w:rPr>
          <w:lang w:val="fr-CA"/>
        </w:rPr>
        <w:t>3.5</w:t>
      </w:r>
      <w:r w:rsidRPr="00102C33">
        <w:rPr>
          <w:lang w:val="fr-CA"/>
        </w:rPr>
        <w:tab/>
        <w:t>Processus et pratiques de la CCSN</w:t>
      </w:r>
    </w:p>
    <w:p w14:paraId="0133C371" w14:textId="5C9CF5DD" w:rsidR="00A52E2A" w:rsidRPr="00102C33" w:rsidRDefault="00A52E2A" w:rsidP="00A52E2A">
      <w:pPr>
        <w:pStyle w:val="BodyText"/>
        <w:rPr>
          <w:lang w:val="fr-CA"/>
        </w:rPr>
      </w:pPr>
      <w:r w:rsidRPr="00102C33">
        <w:rPr>
          <w:lang w:val="fr-CA"/>
        </w:rPr>
        <w:t>3.6</w:t>
      </w:r>
      <w:r w:rsidRPr="00102C33">
        <w:rPr>
          <w:lang w:val="fr-CA"/>
        </w:rPr>
        <w:tab/>
        <w:t>Glossaire de la CCSN</w:t>
      </w:r>
    </w:p>
    <w:p w14:paraId="39DD68D1" w14:textId="3C18835E" w:rsidR="00A52E2A" w:rsidRPr="004909C3" w:rsidRDefault="00A52E2A" w:rsidP="00A52E2A">
      <w:pPr>
        <w:pStyle w:val="BodyTextNoIndent"/>
        <w:rPr>
          <w:lang w:val="fr-CA"/>
        </w:rPr>
      </w:pPr>
      <w:r w:rsidRPr="004909C3">
        <w:rPr>
          <w:b/>
          <w:lang w:val="fr-CA"/>
        </w:rPr>
        <w:t>Remarque :</w:t>
      </w:r>
      <w:r w:rsidRPr="004909C3">
        <w:rPr>
          <w:lang w:val="fr-CA"/>
        </w:rPr>
        <w:t xml:space="preserve"> Les séries de documents d’application de la réglementation pourraient être modifiées périodiquement par la CCSN. Chaque série susmentionnée peut comprendre plusieurs documents d’application de la réglementation. Pour obtenir la plus récente </w:t>
      </w:r>
      <w:hyperlink r:id="rId79" w:history="1">
        <w:r w:rsidRPr="00EC3AF8">
          <w:rPr>
            <w:rStyle w:val="Hyperlink"/>
            <w:lang w:val="fr-CA"/>
          </w:rPr>
          <w:t>liste de documents d’application de la réglementation</w:t>
        </w:r>
      </w:hyperlink>
      <w:r w:rsidRPr="004909C3">
        <w:rPr>
          <w:lang w:val="fr-CA"/>
        </w:rPr>
        <w:t xml:space="preserve">, veuillez consulter </w:t>
      </w:r>
      <w:r w:rsidR="00D35B35">
        <w:rPr>
          <w:lang w:val="fr-CA"/>
        </w:rPr>
        <w:t>le site Web de la CCSN.</w:t>
      </w:r>
    </w:p>
    <w:sectPr w:rsidR="00A52E2A" w:rsidRPr="004909C3">
      <w:headerReference w:type="even" r:id="rId80"/>
      <w:headerReference w:type="default" r:id="rId81"/>
      <w:footerReference w:type="default" r:id="rId82"/>
      <w:headerReference w:type="firs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7C3B" w14:textId="77777777" w:rsidR="00284861" w:rsidRDefault="00284861" w:rsidP="00C00051">
      <w:r>
        <w:separator/>
      </w:r>
    </w:p>
    <w:p w14:paraId="786BBA1F" w14:textId="77777777" w:rsidR="00284861" w:rsidRDefault="00284861" w:rsidP="00C00051"/>
  </w:endnote>
  <w:endnote w:type="continuationSeparator" w:id="0">
    <w:p w14:paraId="6AD5776D" w14:textId="77777777" w:rsidR="00284861" w:rsidRDefault="00284861" w:rsidP="00C00051">
      <w:r>
        <w:continuationSeparator/>
      </w:r>
    </w:p>
    <w:p w14:paraId="1A537574" w14:textId="77777777" w:rsidR="00284861" w:rsidRDefault="00284861" w:rsidP="00C00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CIDFont+F1">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C1FF" w14:textId="77777777" w:rsidR="00284861" w:rsidRDefault="00284861" w:rsidP="00C00051">
    <w:pPr>
      <w:pStyle w:val="Footer"/>
    </w:pPr>
    <w:r>
      <w:fldChar w:fldCharType="begin"/>
    </w:r>
    <w:r>
      <w:instrText xml:space="preserve">PAGE  </w:instrText>
    </w:r>
    <w:r>
      <w:fldChar w:fldCharType="end"/>
    </w:r>
  </w:p>
  <w:p w14:paraId="373B4108" w14:textId="77777777" w:rsidR="00284861" w:rsidRDefault="00284861" w:rsidP="00C00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8A16" w14:textId="77777777" w:rsidR="00284861" w:rsidRDefault="00284861" w:rsidP="00C00051">
    <w:r>
      <w:tab/>
    </w:r>
    <w:r>
      <w:fldChar w:fldCharType="begin"/>
    </w:r>
    <w:r>
      <w:instrText xml:space="preserve"> PAGE </w:instrText>
    </w:r>
    <w:r>
      <w:fldChar w:fldCharType="separate"/>
    </w:r>
    <w:r>
      <w:rPr>
        <w:noProof/>
      </w:rPr>
      <w:t>1</w:t>
    </w:r>
    <w:r>
      <w:fldChar w:fldCharType="end"/>
    </w:r>
    <w:r>
      <w:tab/>
    </w:r>
    <w:r>
      <w:fldChar w:fldCharType="begin"/>
    </w:r>
    <w:r>
      <w:instrText xml:space="preserve"> SUBJECT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29EE" w14:textId="77777777" w:rsidR="00284861" w:rsidRDefault="002848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A390" w14:textId="0503565B" w:rsidR="00284861" w:rsidRPr="00D777BD" w:rsidRDefault="00284861" w:rsidP="000D4383">
    <w:pPr>
      <w:pStyle w:val="Footer"/>
    </w:pPr>
    <w:r w:rsidRPr="00655F9B">
      <w:rPr>
        <w:lang w:val="en-US"/>
      </w:rPr>
      <w:tab/>
    </w:r>
    <w:r w:rsidRPr="00655F9B">
      <w:rPr>
        <w:rStyle w:val="Strong"/>
      </w:rPr>
      <w:fldChar w:fldCharType="begin"/>
    </w:r>
    <w:r w:rsidRPr="00655F9B">
      <w:rPr>
        <w:rStyle w:val="Strong"/>
      </w:rPr>
      <w:instrText xml:space="preserve"> PAGE  \* roman  \* MERGEFORMAT </w:instrText>
    </w:r>
    <w:r w:rsidRPr="00655F9B">
      <w:rPr>
        <w:rStyle w:val="Strong"/>
      </w:rPr>
      <w:fldChar w:fldCharType="separate"/>
    </w:r>
    <w:r w:rsidR="00535356">
      <w:rPr>
        <w:rStyle w:val="Strong"/>
        <w:noProof/>
      </w:rPr>
      <w:t>i</w:t>
    </w:r>
    <w:r w:rsidRPr="00655F9B">
      <w:rPr>
        <w:rStyle w:val="Strong"/>
      </w:rPr>
      <w:fldChar w:fldCharType="end"/>
    </w:r>
    <w:r w:rsidRPr="00655F9B">
      <w:rPr>
        <w:lang w:val="en-US"/>
      </w:rPr>
      <w:tab/>
    </w:r>
    <w:r>
      <w:rPr>
        <w:rStyle w:val="Strong"/>
        <w:lang w:val="en-US"/>
      </w:rPr>
      <w:t>Ébauche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CC6E" w14:textId="77777777" w:rsidR="00284861" w:rsidRPr="00655F9B" w:rsidRDefault="00284861" w:rsidP="00C00051">
    <w:pPr>
      <w:pStyle w:val="Footer"/>
    </w:pPr>
    <w:r w:rsidRPr="00655F9B">
      <w:rPr>
        <w:lang w:val="en-US"/>
      </w:rPr>
      <w:tab/>
    </w:r>
    <w:r w:rsidRPr="00655F9B">
      <w:rPr>
        <w:lang w:val="en-US"/>
      </w:rPr>
      <w:tab/>
    </w:r>
    <w:r w:rsidRPr="002C6BEC">
      <w:rPr>
        <w:rStyle w:val="Strong"/>
        <w:lang w:val="en-US"/>
      </w:rPr>
      <w:t>Ébauche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0FF6" w14:textId="1D9C37B2" w:rsidR="00284861" w:rsidRPr="00655F9B" w:rsidRDefault="00284861" w:rsidP="00C00051">
    <w:pPr>
      <w:pStyle w:val="Footer"/>
    </w:pPr>
    <w:r w:rsidRPr="00655F9B">
      <w:rPr>
        <w:lang w:val="en-US"/>
      </w:rPr>
      <w:tab/>
    </w:r>
    <w:r w:rsidRPr="00C00051">
      <w:rPr>
        <w:lang w:val="en-US"/>
      </w:rPr>
      <w:fldChar w:fldCharType="begin"/>
    </w:r>
    <w:r w:rsidRPr="00C00051">
      <w:rPr>
        <w:lang w:val="en-US"/>
      </w:rPr>
      <w:instrText xml:space="preserve"> PAGE   \* MERGEFORMAT </w:instrText>
    </w:r>
    <w:r w:rsidRPr="00C00051">
      <w:rPr>
        <w:lang w:val="en-US"/>
      </w:rPr>
      <w:fldChar w:fldCharType="separate"/>
    </w:r>
    <w:r w:rsidR="00535356">
      <w:rPr>
        <w:noProof/>
        <w:lang w:val="en-US"/>
      </w:rPr>
      <w:t>5</w:t>
    </w:r>
    <w:r w:rsidRPr="00C00051">
      <w:rPr>
        <w:noProof/>
        <w:lang w:val="en-US"/>
      </w:rPr>
      <w:fldChar w:fldCharType="end"/>
    </w:r>
    <w:r>
      <w:rPr>
        <w:lang w:val="en-US"/>
      </w:rPr>
      <w:tab/>
    </w:r>
    <w:r w:rsidRPr="006F766E">
      <w:rPr>
        <w:b/>
        <w:lang w:val="en-US"/>
      </w:rPr>
      <w:t>Ébauche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DFF2" w14:textId="030D5842" w:rsidR="00284861" w:rsidRPr="00655F9B" w:rsidRDefault="00284861" w:rsidP="00C00051">
    <w:pPr>
      <w:pStyle w:val="Footer"/>
    </w:pPr>
    <w:r w:rsidRPr="00655F9B">
      <w:rPr>
        <w:lang w:val="en-US"/>
      </w:rPr>
      <w:tab/>
    </w:r>
    <w:r w:rsidRPr="00C00051">
      <w:rPr>
        <w:lang w:val="en-US"/>
      </w:rPr>
      <w:fldChar w:fldCharType="begin"/>
    </w:r>
    <w:r w:rsidRPr="00C00051">
      <w:rPr>
        <w:lang w:val="en-US"/>
      </w:rPr>
      <w:instrText xml:space="preserve"> PAGE   \* MERGEFORMAT </w:instrText>
    </w:r>
    <w:r w:rsidRPr="00C00051">
      <w:rPr>
        <w:lang w:val="en-US"/>
      </w:rPr>
      <w:fldChar w:fldCharType="separate"/>
    </w:r>
    <w:r w:rsidR="00535356">
      <w:rPr>
        <w:noProof/>
        <w:lang w:val="en-US"/>
      </w:rPr>
      <w:t>10</w:t>
    </w:r>
    <w:r w:rsidRPr="00C00051">
      <w:rPr>
        <w:noProof/>
        <w:lang w:val="en-US"/>
      </w:rPr>
      <w:fldChar w:fldCharType="end"/>
    </w:r>
    <w:r w:rsidRPr="00655F9B">
      <w:rPr>
        <w:lang w:val="en-US"/>
      </w:rPr>
      <w:tab/>
    </w:r>
    <w:r w:rsidRPr="00284861">
      <w:rPr>
        <w:rStyle w:val="Strong"/>
        <w:lang w:val="fr-CA"/>
      </w:rPr>
      <w:t>Ébauche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91FB" w14:textId="77777777" w:rsidR="00284861" w:rsidRDefault="00284861" w:rsidP="00C00051">
      <w:r>
        <w:separator/>
      </w:r>
    </w:p>
    <w:p w14:paraId="6B1520E0" w14:textId="77777777" w:rsidR="00284861" w:rsidRDefault="00284861" w:rsidP="00C00051"/>
  </w:footnote>
  <w:footnote w:type="continuationSeparator" w:id="0">
    <w:p w14:paraId="6BF2E42D" w14:textId="77777777" w:rsidR="00284861" w:rsidRDefault="00284861" w:rsidP="00C00051">
      <w:r>
        <w:continuationSeparator/>
      </w:r>
    </w:p>
    <w:p w14:paraId="60287733" w14:textId="77777777" w:rsidR="00284861" w:rsidRDefault="00284861" w:rsidP="00C00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C7C" w14:textId="77777777" w:rsidR="00284861" w:rsidRDefault="00CB21A3">
    <w:pPr>
      <w:pStyle w:val="Header"/>
    </w:pPr>
    <w:r>
      <w:rPr>
        <w:noProof/>
      </w:rPr>
      <w:pict w14:anchorId="3CC5C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3" o:spid="_x0000_s1041" type="#_x0000_t136" style="position:absolute;margin-left:0;margin-top:0;width:513.2pt;height:146.6pt;rotation:315;z-index:-251625472;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4CF4" w14:textId="77777777" w:rsidR="00284861" w:rsidRDefault="00CB21A3">
    <w:pPr>
      <w:pStyle w:val="Header"/>
    </w:pPr>
    <w:r>
      <w:rPr>
        <w:noProof/>
      </w:rPr>
      <w:pict w14:anchorId="569F7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42" o:spid="_x0000_s1050" type="#_x0000_t136" style="position:absolute;margin-left:0;margin-top:0;width:513.2pt;height:146.6pt;rotation:315;z-index:-251616256;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CBC2" w14:textId="69A72124" w:rsidR="00284861" w:rsidRPr="00D421B0" w:rsidRDefault="00CB21A3" w:rsidP="00C00051">
    <w:pPr>
      <w:pStyle w:val="Header"/>
      <w:rPr>
        <w:lang w:val="fr-CA"/>
      </w:rPr>
    </w:pPr>
    <w:r>
      <w:rPr>
        <w:noProof/>
      </w:rPr>
      <w:pict w14:anchorId="3E4E8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43" o:spid="_x0000_s1051" type="#_x0000_t136" style="position:absolute;margin-left:0;margin-top:0;width:513.2pt;height:146.6pt;rotation:315;z-index:-251615232;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r w:rsidR="0055586D">
      <w:rPr>
        <w:lang w:val="fr-CA"/>
      </w:rPr>
      <w:t>Décembre</w:t>
    </w:r>
    <w:r w:rsidR="0055586D" w:rsidRPr="00D421B0">
      <w:rPr>
        <w:lang w:val="fr-CA"/>
      </w:rPr>
      <w:t xml:space="preserve"> </w:t>
    </w:r>
    <w:r w:rsidR="00284861" w:rsidRPr="00D421B0">
      <w:rPr>
        <w:lang w:val="fr-CA"/>
      </w:rPr>
      <w:t>20</w:t>
    </w:r>
    <w:r w:rsidR="00CC642A">
      <w:rPr>
        <w:lang w:val="fr-CA"/>
      </w:rPr>
      <w:t>23</w:t>
    </w:r>
    <w:r w:rsidR="00284861" w:rsidRPr="00D421B0">
      <w:rPr>
        <w:lang w:val="fr-CA"/>
      </w:rPr>
      <w:tab/>
      <w:t>REGDOC-</w:t>
    </w:r>
    <w:r w:rsidR="00E90C45" w:rsidRPr="00D421B0">
      <w:rPr>
        <w:lang w:val="fr-CA"/>
      </w:rPr>
      <w:t>2.3.4</w:t>
    </w:r>
    <w:r w:rsidR="00284861" w:rsidRPr="00D421B0">
      <w:rPr>
        <w:lang w:val="fr-CA"/>
      </w:rPr>
      <w:t xml:space="preserve">, </w:t>
    </w:r>
    <w:r w:rsidR="00284861">
      <w:fldChar w:fldCharType="begin"/>
    </w:r>
    <w:r w:rsidR="00284861" w:rsidRPr="00D421B0">
      <w:rPr>
        <w:lang w:val="fr-CA"/>
      </w:rPr>
      <w:instrText xml:space="preserve"> STYLEREF  "Heading 1"  \* MERGEFORMAT </w:instrText>
    </w:r>
    <w:r w:rsidR="00284861">
      <w:fldChar w:fldCharType="separate"/>
    </w:r>
    <w:r>
      <w:rPr>
        <w:noProof/>
        <w:lang w:val="fr-CA"/>
      </w:rPr>
      <w:t>Programmes d’exploitation des installations dotées de réacteurs</w:t>
    </w:r>
    <w:r w:rsidR="00284861">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C18F" w14:textId="77777777" w:rsidR="00284861" w:rsidRDefault="00CB21A3">
    <w:pPr>
      <w:pStyle w:val="Header"/>
    </w:pPr>
    <w:r>
      <w:rPr>
        <w:noProof/>
      </w:rPr>
      <w:pict w14:anchorId="65D36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41" o:spid="_x0000_s1049" type="#_x0000_t136" style="position:absolute;margin-left:0;margin-top:0;width:513.2pt;height:146.6pt;rotation:315;z-index:-251617280;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A8F3" w14:textId="77777777" w:rsidR="00284861" w:rsidRDefault="00CB21A3">
    <w:pPr>
      <w:pStyle w:val="Header"/>
    </w:pPr>
    <w:r>
      <w:rPr>
        <w:noProof/>
      </w:rPr>
      <w:pict w14:anchorId="39AEB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6658" o:spid="_x0000_s1035" type="#_x0000_t136" style="position:absolute;margin-left:0;margin-top:0;width:471.35pt;height:134.65pt;rotation:315;z-index:-251636736;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7A7" w14:textId="3C79DEDB" w:rsidR="00284861" w:rsidRPr="00A45E6E" w:rsidRDefault="00CB21A3" w:rsidP="00A45E6E">
    <w:pPr>
      <w:pStyle w:val="Header"/>
      <w:jc w:val="center"/>
      <w:rPr>
        <w:szCs w:val="20"/>
        <w:lang w:val="fr-FR"/>
      </w:rPr>
    </w:pPr>
    <w:r>
      <w:rPr>
        <w:noProof/>
      </w:rPr>
      <w:pict w14:anchorId="7EF60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6659" o:spid="_x0000_s1036" type="#_x0000_t136" style="position:absolute;left:0;text-align:left;margin-left:0;margin-top:0;width:471.35pt;height:134.65pt;rotation:315;z-index:-251634688;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r w:rsidR="0055586D">
      <w:rPr>
        <w:lang w:val="fr-CA"/>
      </w:rPr>
      <w:t>Décembre</w:t>
    </w:r>
    <w:r w:rsidR="0055586D" w:rsidRPr="00D421B0">
      <w:rPr>
        <w:lang w:val="fr-CA"/>
      </w:rPr>
      <w:t xml:space="preserve"> </w:t>
    </w:r>
    <w:r w:rsidR="00284861" w:rsidRPr="0009718A">
      <w:rPr>
        <w:szCs w:val="20"/>
        <w:lang w:val="fr-FR"/>
      </w:rPr>
      <w:t>20</w:t>
    </w:r>
    <w:r w:rsidR="00CC642A">
      <w:rPr>
        <w:szCs w:val="20"/>
        <w:lang w:val="fr-FR"/>
      </w:rPr>
      <w:t>23</w:t>
    </w:r>
    <w:r w:rsidR="00284861" w:rsidRPr="0009718A">
      <w:rPr>
        <w:szCs w:val="20"/>
        <w:lang w:val="fr-FR"/>
      </w:rPr>
      <w:tab/>
    </w:r>
    <w:r w:rsidR="009A4C7B" w:rsidRPr="00D421B0">
      <w:rPr>
        <w:lang w:val="fr-CA"/>
      </w:rPr>
      <w:t xml:space="preserve">REGDOC-2.3.4, </w:t>
    </w:r>
    <w:r w:rsidR="009A4C7B">
      <w:fldChar w:fldCharType="begin"/>
    </w:r>
    <w:r w:rsidR="009A4C7B" w:rsidRPr="00D421B0">
      <w:rPr>
        <w:lang w:val="fr-CA"/>
      </w:rPr>
      <w:instrText xml:space="preserve"> STYLEREF  "Heading 1"  \* MERGEFORMAT </w:instrText>
    </w:r>
    <w:r w:rsidR="009A4C7B">
      <w:fldChar w:fldCharType="separate"/>
    </w:r>
    <w:r>
      <w:rPr>
        <w:noProof/>
        <w:lang w:val="fr-CA"/>
      </w:rPr>
      <w:t>Programmes d’exploitation des installations dotées de réacteurs</w:t>
    </w:r>
    <w:r w:rsidR="009A4C7B">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CD44" w14:textId="77777777" w:rsidR="00284861" w:rsidRDefault="00CB21A3">
    <w:pPr>
      <w:pStyle w:val="Header"/>
    </w:pPr>
    <w:r>
      <w:rPr>
        <w:noProof/>
      </w:rPr>
      <w:pict w14:anchorId="3EF6A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6657" o:spid="_x0000_s1034" type="#_x0000_t136" style="position:absolute;margin-left:0;margin-top:0;width:471.35pt;height:134.65pt;rotation:315;z-index:-251638784;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0418" w14:textId="77777777" w:rsidR="00284861" w:rsidRDefault="00CB21A3">
    <w:pPr>
      <w:pStyle w:val="Header"/>
    </w:pPr>
    <w:r>
      <w:rPr>
        <w:noProof/>
      </w:rPr>
      <w:pict w14:anchorId="1886C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6661" o:spid="_x0000_s1038" type="#_x0000_t136" style="position:absolute;margin-left:0;margin-top:0;width:471.35pt;height:134.65pt;rotation:315;z-index:-251630592;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F83B" w14:textId="7D68883A" w:rsidR="00284861" w:rsidRPr="009A4C7B" w:rsidRDefault="00CB21A3" w:rsidP="00A45E6E">
    <w:pPr>
      <w:pStyle w:val="Header"/>
      <w:jc w:val="center"/>
      <w:rPr>
        <w:szCs w:val="20"/>
        <w:lang w:val="fr-CA"/>
      </w:rPr>
    </w:pPr>
    <w:r>
      <w:rPr>
        <w:noProof/>
      </w:rPr>
      <w:pict w14:anchorId="05783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6662" o:spid="_x0000_s1039" type="#_x0000_t136" style="position:absolute;left:0;text-align:left;margin-left:0;margin-top:0;width:471.35pt;height:134.65pt;rotation:315;z-index:-251628544;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r w:rsidR="0055586D">
      <w:rPr>
        <w:lang w:val="fr-CA"/>
      </w:rPr>
      <w:t>Décembre</w:t>
    </w:r>
    <w:r w:rsidR="0055586D" w:rsidRPr="00D421B0">
      <w:rPr>
        <w:lang w:val="fr-CA"/>
      </w:rPr>
      <w:t xml:space="preserve"> </w:t>
    </w:r>
    <w:r w:rsidR="00284861" w:rsidRPr="009A4C7B">
      <w:rPr>
        <w:szCs w:val="20"/>
        <w:lang w:val="fr-CA"/>
      </w:rPr>
      <w:t>20</w:t>
    </w:r>
    <w:r w:rsidR="00CC642A">
      <w:rPr>
        <w:szCs w:val="20"/>
        <w:lang w:val="fr-CA"/>
      </w:rPr>
      <w:t>23</w:t>
    </w:r>
    <w:r w:rsidR="00284861" w:rsidRPr="009A4C7B">
      <w:rPr>
        <w:szCs w:val="20"/>
        <w:lang w:val="fr-CA"/>
      </w:rPr>
      <w:tab/>
    </w:r>
    <w:r w:rsidR="009A4C7B" w:rsidRPr="00D421B0">
      <w:rPr>
        <w:lang w:val="fr-CA"/>
      </w:rPr>
      <w:t xml:space="preserve">REGDOC-2.3.4, </w:t>
    </w:r>
    <w:r w:rsidR="009A4C7B">
      <w:fldChar w:fldCharType="begin"/>
    </w:r>
    <w:r w:rsidR="009A4C7B" w:rsidRPr="00D421B0">
      <w:rPr>
        <w:lang w:val="fr-CA"/>
      </w:rPr>
      <w:instrText xml:space="preserve"> STYLEREF  "Heading 1"  \* MERGEFORMAT </w:instrText>
    </w:r>
    <w:r w:rsidR="009A4C7B">
      <w:fldChar w:fldCharType="separate"/>
    </w:r>
    <w:r>
      <w:rPr>
        <w:noProof/>
        <w:lang w:val="fr-CA"/>
      </w:rPr>
      <w:t>Programmes d’exploitation des installations dotées de réacteurs</w:t>
    </w:r>
    <w:r w:rsidR="009A4C7B">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8519" w14:textId="77777777" w:rsidR="00284861" w:rsidRDefault="00CB21A3">
    <w:pPr>
      <w:pStyle w:val="Header"/>
    </w:pPr>
    <w:r>
      <w:rPr>
        <w:noProof/>
      </w:rPr>
      <w:pict w14:anchorId="6F3FA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6660" o:spid="_x0000_s1037" type="#_x0000_t136" style="position:absolute;margin-left:0;margin-top:0;width:471.35pt;height:134.65pt;rotation:315;z-index:-251632640;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8FCA" w14:textId="77777777" w:rsidR="00284861" w:rsidRDefault="00CB21A3">
    <w:pPr>
      <w:pStyle w:val="Header"/>
    </w:pPr>
    <w:r>
      <w:rPr>
        <w:noProof/>
      </w:rPr>
      <w:pict w14:anchorId="0A70F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4" o:spid="_x0000_s1042" type="#_x0000_t136" style="position:absolute;margin-left:0;margin-top:0;width:513.2pt;height:146.6pt;rotation:315;z-index:-251624448;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Ind w:w="5" w:type="dxa"/>
      <w:tblBorders>
        <w:bottom w:val="single" w:sz="4" w:space="0" w:color="auto"/>
        <w:insideH w:val="single" w:sz="4" w:space="0" w:color="auto"/>
      </w:tblBorders>
      <w:tblLook w:val="01E0" w:firstRow="1" w:lastRow="1" w:firstColumn="1" w:lastColumn="1" w:noHBand="0" w:noVBand="0"/>
    </w:tblPr>
    <w:tblGrid>
      <w:gridCol w:w="1620"/>
      <w:gridCol w:w="7735"/>
    </w:tblGrid>
    <w:tr w:rsidR="00284861" w14:paraId="2531D85A" w14:textId="77777777" w:rsidTr="000D4383">
      <w:tc>
        <w:tcPr>
          <w:tcW w:w="1620" w:type="dxa"/>
          <w:tcMar>
            <w:left w:w="0" w:type="dxa"/>
            <w:right w:w="0" w:type="dxa"/>
          </w:tcMar>
        </w:tcPr>
        <w:p w14:paraId="21AE4921" w14:textId="40330208" w:rsidR="00284861" w:rsidRDefault="00284861" w:rsidP="00C00051">
          <w:pPr>
            <w:pStyle w:val="Header"/>
          </w:pPr>
          <w:r>
            <w:fldChar w:fldCharType="begin"/>
          </w:r>
          <w:r>
            <w:instrText xml:space="preserve"> DOCPROPERTY  Category  \* MERGEFORMAT </w:instrText>
          </w:r>
          <w:r>
            <w:fldChar w:fldCharType="end"/>
          </w:r>
        </w:p>
      </w:tc>
      <w:tc>
        <w:tcPr>
          <w:tcW w:w="7735" w:type="dxa"/>
        </w:tcPr>
        <w:p w14:paraId="3638340E" w14:textId="77777777" w:rsidR="00284861" w:rsidRDefault="00284861" w:rsidP="00C00051">
          <w:pPr>
            <w:pStyle w:val="Header"/>
          </w:pPr>
          <w:r>
            <w:fldChar w:fldCharType="begin"/>
          </w:r>
          <w:r>
            <w:instrText xml:space="preserve"> KEYWORDS   \* MERGEFORMAT </w:instrText>
          </w:r>
          <w:r>
            <w:fldChar w:fldCharType="end"/>
          </w:r>
          <w:r>
            <w:t>-</w:t>
          </w:r>
          <w:r>
            <w:fldChar w:fldCharType="begin"/>
          </w:r>
          <w:r>
            <w:instrText xml:space="preserve"> COMMENTS   \* MERGEFORMAT </w:instrText>
          </w:r>
          <w:r>
            <w:fldChar w:fldCharType="end"/>
          </w:r>
          <w:r>
            <w:t xml:space="preserve">, </w:t>
          </w:r>
          <w:r>
            <w:fldChar w:fldCharType="begin"/>
          </w:r>
          <w:r>
            <w:instrText xml:space="preserve"> TITLE   \* MERGEFORMAT </w:instrText>
          </w:r>
          <w:r>
            <w:fldChar w:fldCharType="end"/>
          </w:r>
        </w:p>
      </w:tc>
    </w:tr>
  </w:tbl>
  <w:p w14:paraId="0445B151" w14:textId="7FE1C2EA" w:rsidR="00284861" w:rsidRPr="00677B54" w:rsidRDefault="00CB21A3" w:rsidP="00C00051">
    <w:pPr>
      <w:pStyle w:val="Header"/>
    </w:pPr>
    <w:r>
      <w:rPr>
        <w:noProof/>
      </w:rPr>
      <w:pict w14:anchorId="29BE5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2" o:spid="_x0000_s1058" type="#_x0000_t136" style="position:absolute;margin-left:0;margin-top:0;width:513.2pt;height:146.6pt;rotation:315;z-index:-251626496;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r w:rsidR="0028486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FD24" w14:textId="77777777" w:rsidR="00284861" w:rsidRDefault="00CB21A3">
    <w:pPr>
      <w:pStyle w:val="Header"/>
    </w:pPr>
    <w:r>
      <w:rPr>
        <w:noProof/>
      </w:rPr>
      <w:pict w14:anchorId="07423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6" o:spid="_x0000_s1044" type="#_x0000_t136" style="position:absolute;margin-left:0;margin-top:0;width:513.2pt;height:146.6pt;rotation:315;z-index:-251622400;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196" w14:textId="77777777" w:rsidR="00284861" w:rsidRDefault="00CB21A3" w:rsidP="009A02CB">
    <w:pPr>
      <w:pStyle w:val="Header"/>
      <w:pBdr>
        <w:bottom w:val="none" w:sz="0" w:space="0" w:color="auto"/>
      </w:pBdr>
    </w:pPr>
    <w:r>
      <w:rPr>
        <w:noProof/>
      </w:rPr>
      <w:pict w14:anchorId="12B18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7" o:spid="_x0000_s1045" type="#_x0000_t136" style="position:absolute;margin-left:0;margin-top:0;width:513.2pt;height:146.6pt;rotation:315;z-index:-251621376;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BEB8" w14:textId="77777777" w:rsidR="00284861" w:rsidRDefault="00CB21A3">
    <w:pPr>
      <w:pStyle w:val="Header"/>
    </w:pPr>
    <w:r>
      <w:rPr>
        <w:noProof/>
      </w:rPr>
      <w:pict w14:anchorId="3EE0F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5" o:spid="_x0000_s1043" type="#_x0000_t136" style="position:absolute;margin-left:0;margin-top:0;width:513.2pt;height:146.6pt;rotation:315;z-index:-251623424;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10DA" w14:textId="77777777" w:rsidR="00284861" w:rsidRDefault="00CB21A3">
    <w:pPr>
      <w:pStyle w:val="Header"/>
    </w:pPr>
    <w:r>
      <w:rPr>
        <w:noProof/>
      </w:rPr>
      <w:pict w14:anchorId="57E58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9" o:spid="_x0000_s1047" type="#_x0000_t136" style="position:absolute;margin-left:0;margin-top:0;width:513.2pt;height:146.6pt;rotation:315;z-index:-251619328;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F416" w14:textId="423E4C45" w:rsidR="00284861" w:rsidRPr="00D421B0" w:rsidRDefault="00CB21A3" w:rsidP="000D4383">
    <w:pPr>
      <w:pStyle w:val="Header"/>
      <w:rPr>
        <w:lang w:val="fr-CA"/>
      </w:rPr>
    </w:pPr>
    <w:r>
      <w:rPr>
        <w:noProof/>
      </w:rPr>
      <w:pict w14:anchorId="1B7A3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40" o:spid="_x0000_s1048" type="#_x0000_t136" style="position:absolute;margin-left:0;margin-top:0;width:513.2pt;height:146.6pt;rotation:315;z-index:-251618304;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r w:rsidR="0055586D">
      <w:rPr>
        <w:lang w:val="fr-CA"/>
      </w:rPr>
      <w:t>Décem</w:t>
    </w:r>
    <w:r w:rsidR="00CC642A">
      <w:rPr>
        <w:lang w:val="fr-CA"/>
      </w:rPr>
      <w:t>bre</w:t>
    </w:r>
    <w:r w:rsidR="00284861" w:rsidRPr="00D421B0">
      <w:rPr>
        <w:lang w:val="fr-CA"/>
      </w:rPr>
      <w:t xml:space="preserve"> 20</w:t>
    </w:r>
    <w:r w:rsidR="00CC642A">
      <w:rPr>
        <w:lang w:val="fr-CA"/>
      </w:rPr>
      <w:t>23</w:t>
    </w:r>
    <w:r w:rsidR="00284861" w:rsidRPr="00D421B0">
      <w:rPr>
        <w:lang w:val="fr-CA"/>
      </w:rPr>
      <w:tab/>
      <w:t>REGDOC-</w:t>
    </w:r>
    <w:r w:rsidR="0019612D" w:rsidRPr="00D421B0">
      <w:rPr>
        <w:lang w:val="fr-CA"/>
      </w:rPr>
      <w:t>2.3.4</w:t>
    </w:r>
    <w:r w:rsidR="00284861" w:rsidRPr="00D421B0">
      <w:rPr>
        <w:lang w:val="fr-CA"/>
      </w:rPr>
      <w:t xml:space="preserve">, </w:t>
    </w:r>
    <w:r w:rsidR="00284861">
      <w:fldChar w:fldCharType="begin"/>
    </w:r>
    <w:r w:rsidR="00284861" w:rsidRPr="00D421B0">
      <w:rPr>
        <w:lang w:val="fr-CA"/>
      </w:rPr>
      <w:instrText xml:space="preserve"> STYLEREF  "Heading 1"  \* MERGEFORMAT </w:instrText>
    </w:r>
    <w:r w:rsidR="00284861">
      <w:fldChar w:fldCharType="separate"/>
    </w:r>
    <w:r>
      <w:rPr>
        <w:noProof/>
        <w:lang w:val="fr-CA"/>
      </w:rPr>
      <w:t>Programmes d’exploitation des installations dotées de réacteurs</w:t>
    </w:r>
    <w:r w:rsidR="00284861">
      <w:rPr>
        <w:noProof/>
      </w:rPr>
      <w:fldChar w:fldCharType="end"/>
    </w:r>
  </w:p>
  <w:p w14:paraId="08C1E6E8" w14:textId="77777777" w:rsidR="00284861" w:rsidRPr="00D421B0" w:rsidRDefault="00284861" w:rsidP="000D4383">
    <w:pPr>
      <w:pStyle w:val="Header"/>
      <w:pBdr>
        <w:bottom w:val="none" w:sz="0" w:space="0" w:color="auto"/>
      </w:pBdr>
      <w:rPr>
        <w:lang w:val="fr-C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83F7" w14:textId="77777777" w:rsidR="00284861" w:rsidRDefault="00CB21A3">
    <w:pPr>
      <w:pStyle w:val="Header"/>
    </w:pPr>
    <w:r>
      <w:rPr>
        <w:noProof/>
      </w:rPr>
      <w:pict w14:anchorId="3A407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438" o:spid="_x0000_s1046" type="#_x0000_t136" style="position:absolute;margin-left:0;margin-top:0;width:513.2pt;height:146.6pt;rotation:315;z-index:-251620352;mso-position-horizontal:center;mso-position-horizontal-relative:margin;mso-position-vertical:center;mso-position-vertical-relative:margin" o:allowincell="f" fillcolor="silver" stroked="f">
          <v:fill opacity=".5"/>
          <v:textpath style="font-family:&quot;Times New Roman&quot;;font-size:1pt" string="ÉBAUCH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41F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F64F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2ADA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E2B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96B7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F26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06FD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143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303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A40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63BF0"/>
    <w:multiLevelType w:val="hybridMultilevel"/>
    <w:tmpl w:val="15D26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65464D7"/>
    <w:multiLevelType w:val="multilevel"/>
    <w:tmpl w:val="E2022496"/>
    <w:lvl w:ilvl="0">
      <w:start w:val="1"/>
      <w:numFmt w:val="none"/>
      <w:suff w:val="nothing"/>
      <w:lvlText w:val=""/>
      <w:lvlJc w:val="left"/>
      <w:pPr>
        <w:ind w:left="-3060" w:hanging="720"/>
      </w:pPr>
      <w:rPr>
        <w:rFonts w:hint="default"/>
      </w:rPr>
    </w:lvl>
    <w:lvl w:ilvl="1">
      <w:start w:val="1"/>
      <w:numFmt w:val="decimal"/>
      <w:lvlText w:val="%2.0"/>
      <w:lvlJc w:val="left"/>
      <w:pPr>
        <w:tabs>
          <w:tab w:val="num" w:pos="-3780"/>
        </w:tabs>
        <w:ind w:left="-3420" w:hanging="1080"/>
      </w:pPr>
      <w:rPr>
        <w:rFonts w:hint="default"/>
      </w:rPr>
    </w:lvl>
    <w:lvl w:ilvl="2">
      <w:start w:val="1"/>
      <w:numFmt w:val="decimal"/>
      <w:lvlText w:val="%2.%3"/>
      <w:lvlJc w:val="left"/>
      <w:pPr>
        <w:tabs>
          <w:tab w:val="num" w:pos="-3240"/>
        </w:tabs>
        <w:ind w:left="-3240" w:hanging="720"/>
      </w:pPr>
      <w:rPr>
        <w:rFonts w:hint="default"/>
      </w:rPr>
    </w:lvl>
    <w:lvl w:ilvl="3">
      <w:start w:val="1"/>
      <w:numFmt w:val="decimal"/>
      <w:lvlText w:val="%2.%3.%4"/>
      <w:lvlJc w:val="left"/>
      <w:pPr>
        <w:tabs>
          <w:tab w:val="num" w:pos="-1494"/>
        </w:tabs>
        <w:ind w:left="-1494" w:hanging="936"/>
      </w:pPr>
      <w:rPr>
        <w:rFonts w:hint="default"/>
      </w:rPr>
    </w:lvl>
    <w:lvl w:ilvl="4">
      <w:start w:val="1"/>
      <w:numFmt w:val="decimal"/>
      <w:lvlText w:val="%2.%3.%4.%5"/>
      <w:lvlJc w:val="left"/>
      <w:pPr>
        <w:tabs>
          <w:tab w:val="num" w:pos="-2934"/>
        </w:tabs>
        <w:ind w:left="-2934" w:hanging="936"/>
      </w:pPr>
      <w:rPr>
        <w:rFonts w:hint="default"/>
      </w:rPr>
    </w:lvl>
    <w:lvl w:ilvl="5">
      <w:start w:val="1"/>
      <w:numFmt w:val="upperLetter"/>
      <w:suff w:val="nothing"/>
      <w:lvlText w:val="Annexe %6 "/>
      <w:lvlJc w:val="left"/>
      <w:pPr>
        <w:ind w:left="0" w:firstLine="0"/>
      </w:pPr>
      <w:rPr>
        <w:rFonts w:hint="default"/>
      </w:rPr>
    </w:lvl>
    <w:lvl w:ilvl="6">
      <w:start w:val="1"/>
      <w:numFmt w:val="decimal"/>
      <w:lvlText w:val="%6.%7"/>
      <w:lvlJc w:val="left"/>
      <w:pPr>
        <w:tabs>
          <w:tab w:val="num" w:pos="-2880"/>
        </w:tabs>
        <w:ind w:left="-2880" w:hanging="720"/>
      </w:pPr>
      <w:rPr>
        <w:rFonts w:hint="default"/>
        <w:szCs w:val="26"/>
      </w:rPr>
    </w:lvl>
    <w:lvl w:ilvl="7">
      <w:start w:val="1"/>
      <w:numFmt w:val="decimal"/>
      <w:lvlText w:val="%6.%7.%8"/>
      <w:lvlJc w:val="left"/>
      <w:pPr>
        <w:tabs>
          <w:tab w:val="num" w:pos="-2286"/>
        </w:tabs>
        <w:ind w:left="-2286" w:hanging="864"/>
      </w:pPr>
      <w:rPr>
        <w:rFonts w:hint="default"/>
      </w:rPr>
    </w:lvl>
    <w:lvl w:ilvl="8">
      <w:start w:val="1"/>
      <w:numFmt w:val="decimal"/>
      <w:lvlText w:val="%6.%7.%8.%9"/>
      <w:lvlJc w:val="left"/>
      <w:pPr>
        <w:tabs>
          <w:tab w:val="num" w:pos="954"/>
        </w:tabs>
        <w:ind w:left="954" w:hanging="864"/>
      </w:pPr>
      <w:rPr>
        <w:rFonts w:hint="default"/>
      </w:rPr>
    </w:lvl>
  </w:abstractNum>
  <w:abstractNum w:abstractNumId="12" w15:restartNumberingAfterBreak="0">
    <w:nsid w:val="0A0A4C21"/>
    <w:multiLevelType w:val="multilevel"/>
    <w:tmpl w:val="AD6C866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18103D"/>
    <w:multiLevelType w:val="multilevel"/>
    <w:tmpl w:val="35648388"/>
    <w:numStyleLink w:val="RDNumberedList"/>
  </w:abstractNum>
  <w:abstractNum w:abstractNumId="14" w15:restartNumberingAfterBreak="0">
    <w:nsid w:val="0D4844DE"/>
    <w:multiLevelType w:val="hybridMultilevel"/>
    <w:tmpl w:val="F202CC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FB95948"/>
    <w:multiLevelType w:val="hybridMultilevel"/>
    <w:tmpl w:val="69A42E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42219C9"/>
    <w:multiLevelType w:val="hybridMultilevel"/>
    <w:tmpl w:val="F5324A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A183214"/>
    <w:multiLevelType w:val="hybridMultilevel"/>
    <w:tmpl w:val="EC4CD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EF3C0D"/>
    <w:multiLevelType w:val="hybridMultilevel"/>
    <w:tmpl w:val="6D72328C"/>
    <w:lvl w:ilvl="0" w:tplc="EC52A9B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1BB340F"/>
    <w:multiLevelType w:val="hybridMultilevel"/>
    <w:tmpl w:val="C29C6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518EE"/>
    <w:multiLevelType w:val="multilevel"/>
    <w:tmpl w:val="3B04911C"/>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720"/>
        </w:tabs>
        <w:ind w:left="576" w:firstLine="144"/>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864"/>
        </w:tabs>
        <w:ind w:left="864" w:hanging="144"/>
      </w:pPr>
      <w:rPr>
        <w:rFonts w:hint="default"/>
      </w:rPr>
    </w:lvl>
    <w:lvl w:ilvl="4">
      <w:start w:val="1"/>
      <w:numFmt w:val="decimal"/>
      <w:lvlText w:val="%1.%2.%3.%4.%5"/>
      <w:lvlJc w:val="left"/>
      <w:pPr>
        <w:tabs>
          <w:tab w:val="num" w:pos="1008"/>
        </w:tabs>
        <w:ind w:left="1008" w:hanging="288"/>
      </w:pPr>
      <w:rPr>
        <w:rFonts w:hint="default"/>
        <w:lang w:val="en-US"/>
      </w:rPr>
    </w:lvl>
    <w:lvl w:ilvl="5">
      <w:start w:val="1"/>
      <w:numFmt w:val="decimal"/>
      <w:lvlText w:val="%1.%2.%3.%4.%5.%6"/>
      <w:lvlJc w:val="left"/>
      <w:pPr>
        <w:tabs>
          <w:tab w:val="num" w:pos="1152"/>
        </w:tabs>
        <w:ind w:left="1152" w:hanging="432"/>
      </w:pPr>
      <w:rPr>
        <w:rFonts w:hint="default"/>
        <w:lang w:val="en-CA"/>
      </w:rPr>
    </w:lvl>
    <w:lvl w:ilvl="6">
      <w:start w:val="1"/>
      <w:numFmt w:val="decimal"/>
      <w:lvlText w:val="%1.%2.%3.%4.%5.%6.%7"/>
      <w:lvlJc w:val="left"/>
      <w:pPr>
        <w:tabs>
          <w:tab w:val="num" w:pos="1296"/>
        </w:tabs>
        <w:ind w:left="1296" w:hanging="576"/>
      </w:pPr>
      <w:rPr>
        <w:rFonts w:hint="default"/>
        <w:szCs w:val="26"/>
      </w:rPr>
    </w:lvl>
    <w:lvl w:ilvl="7">
      <w:start w:val="1"/>
      <w:numFmt w:val="decimal"/>
      <w:lvlText w:val="%1.%2.%3.%4.%5.%6.%7.%8"/>
      <w:lvlJc w:val="left"/>
      <w:pPr>
        <w:tabs>
          <w:tab w:val="num" w:pos="1440"/>
        </w:tabs>
        <w:ind w:left="1440" w:hanging="720"/>
      </w:pPr>
      <w:rPr>
        <w:rFonts w:hint="default"/>
      </w:rPr>
    </w:lvl>
    <w:lvl w:ilvl="8">
      <w:start w:val="1"/>
      <w:numFmt w:val="decimal"/>
      <w:lvlText w:val="%1.%2.%3.%4.%5.%6.%7.%8.%9"/>
      <w:lvlJc w:val="left"/>
      <w:pPr>
        <w:tabs>
          <w:tab w:val="num" w:pos="1584"/>
        </w:tabs>
        <w:ind w:left="1584" w:hanging="864"/>
      </w:pPr>
      <w:rPr>
        <w:rFonts w:hint="default"/>
      </w:rPr>
    </w:lvl>
  </w:abstractNum>
  <w:abstractNum w:abstractNumId="21" w15:restartNumberingAfterBreak="0">
    <w:nsid w:val="2D862579"/>
    <w:multiLevelType w:val="hybridMultilevel"/>
    <w:tmpl w:val="9E8276B8"/>
    <w:lvl w:ilvl="0" w:tplc="39303D92">
      <w:start w:val="1"/>
      <w:numFmt w:val="bullet"/>
      <w:pStyle w:val="BulletListSub-itemTo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8423C"/>
    <w:multiLevelType w:val="hybridMultilevel"/>
    <w:tmpl w:val="BE126C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70B5D9B"/>
    <w:multiLevelType w:val="hybridMultilevel"/>
    <w:tmpl w:val="8AC07E80"/>
    <w:lvl w:ilvl="0" w:tplc="3F4EE0E6">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3A9805E5"/>
    <w:multiLevelType w:val="hybridMultilevel"/>
    <w:tmpl w:val="B02E7BBE"/>
    <w:lvl w:ilvl="0" w:tplc="3FB6AD8A">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98488390">
      <w:start w:val="1"/>
      <w:numFmt w:val="lowerRoman"/>
      <w:lvlText w:val="%3."/>
      <w:lvlJc w:val="lef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BEE02146">
      <w:start w:val="1"/>
      <w:numFmt w:val="decimal"/>
      <w:lvlText w:val="%6"/>
      <w:lvlJc w:val="left"/>
      <w:pPr>
        <w:ind w:left="4845" w:hanging="705"/>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834975"/>
    <w:multiLevelType w:val="multilevel"/>
    <w:tmpl w:val="7A707B6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563DEF"/>
    <w:multiLevelType w:val="hybridMultilevel"/>
    <w:tmpl w:val="F1A601F6"/>
    <w:lvl w:ilvl="0" w:tplc="BCF0F35E">
      <w:start w:val="1"/>
      <w:numFmt w:val="bullet"/>
      <w:pStyle w:val="BulletListTopItem"/>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C7B75"/>
    <w:multiLevelType w:val="hybridMultilevel"/>
    <w:tmpl w:val="248C99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70B3145"/>
    <w:multiLevelType w:val="multilevel"/>
    <w:tmpl w:val="35648388"/>
    <w:styleLink w:val="RDNumberedList"/>
    <w:lvl w:ilvl="0">
      <w:start w:val="1"/>
      <w:numFmt w:val="decimal"/>
      <w:lvlText w:val="%1."/>
      <w:lvlJc w:val="left"/>
      <w:pPr>
        <w:tabs>
          <w:tab w:val="num" w:pos="1080"/>
        </w:tabs>
        <w:ind w:left="1080" w:hanging="360"/>
      </w:pPr>
      <w:rPr>
        <w:rFonts w:ascii="Times New Roman" w:hAnsi="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4AFD1788"/>
    <w:multiLevelType w:val="hybridMultilevel"/>
    <w:tmpl w:val="EC4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440FF"/>
    <w:multiLevelType w:val="multilevel"/>
    <w:tmpl w:val="A6B05788"/>
    <w:lvl w:ilvl="0">
      <w:start w:val="1"/>
      <w:numFmt w:val="upperLetter"/>
      <w:lvlText w:val="Article %1."/>
      <w:lvlJc w:val="left"/>
      <w:pPr>
        <w:ind w:left="0" w:firstLine="0"/>
      </w:pPr>
      <w:rPr>
        <w:rFonts w:hint="default"/>
      </w:rPr>
    </w:lvl>
    <w:lvl w:ilvl="1">
      <w:start w:val="1"/>
      <w:numFmt w:val="upperLetter"/>
      <w:pStyle w:val="AppendixLevel1"/>
      <w:suff w:val="space"/>
      <w:lvlText w:val="Annexe %2 :"/>
      <w:lvlJc w:val="left"/>
      <w:pPr>
        <w:ind w:left="0" w:firstLine="0"/>
      </w:pPr>
      <w:rPr>
        <w:rFonts w:hint="default"/>
      </w:rPr>
    </w:lvl>
    <w:lvl w:ilvl="2">
      <w:start w:val="1"/>
      <w:numFmt w:val="decimal"/>
      <w:pStyle w:val="AppendixLevel2"/>
      <w:lvlText w:val="%2.%3"/>
      <w:lvlJc w:val="left"/>
      <w:pPr>
        <w:ind w:left="720" w:hanging="720"/>
      </w:pPr>
      <w:rPr>
        <w:rFonts w:hint="default"/>
      </w:rPr>
    </w:lvl>
    <w:lvl w:ilvl="3">
      <w:start w:val="1"/>
      <w:numFmt w:val="decimal"/>
      <w:pStyle w:val="AppendixLevel3"/>
      <w:lvlText w:val="%2.%3.%4"/>
      <w:lvlJc w:val="left"/>
      <w:pPr>
        <w:ind w:left="1080" w:hanging="1080"/>
      </w:pPr>
      <w:rPr>
        <w:rFonts w:hint="default"/>
        <w:sz w:val="22"/>
      </w:rPr>
    </w:lvl>
    <w:lvl w:ilvl="4">
      <w:start w:val="1"/>
      <w:numFmt w:val="decimal"/>
      <w:pStyle w:val="AppendixLevel4"/>
      <w:lvlText w:val="%2.%3.%4.%5"/>
      <w:lvlJc w:val="left"/>
      <w:pPr>
        <w:ind w:left="1080" w:hanging="1080"/>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62A358F5"/>
    <w:multiLevelType w:val="hybridMultilevel"/>
    <w:tmpl w:val="0C6029F8"/>
    <w:lvl w:ilvl="0" w:tplc="78747042">
      <w:start w:val="10"/>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F5A31EB"/>
    <w:multiLevelType w:val="hybridMultilevel"/>
    <w:tmpl w:val="8DD4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1300D"/>
    <w:multiLevelType w:val="hybridMultilevel"/>
    <w:tmpl w:val="0FB60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D865209"/>
    <w:multiLevelType w:val="hybridMultilevel"/>
    <w:tmpl w:val="F8961348"/>
    <w:lvl w:ilvl="0" w:tplc="C09E05D6">
      <w:start w:val="1"/>
      <w:numFmt w:val="bullet"/>
      <w:pStyle w:val="BulletListSub-itemBottom"/>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744520926">
    <w:abstractNumId w:val="12"/>
  </w:num>
  <w:num w:numId="2" w16cid:durableId="1455636433">
    <w:abstractNumId w:val="24"/>
  </w:num>
  <w:num w:numId="3" w16cid:durableId="90047614">
    <w:abstractNumId w:val="30"/>
  </w:num>
  <w:num w:numId="4" w16cid:durableId="901792680">
    <w:abstractNumId w:val="20"/>
  </w:num>
  <w:num w:numId="5" w16cid:durableId="81149365">
    <w:abstractNumId w:val="28"/>
  </w:num>
  <w:num w:numId="6" w16cid:durableId="1402094687">
    <w:abstractNumId w:val="34"/>
  </w:num>
  <w:num w:numId="7" w16cid:durableId="1700624318">
    <w:abstractNumId w:val="21"/>
  </w:num>
  <w:num w:numId="8" w16cid:durableId="1714228892">
    <w:abstractNumId w:val="26"/>
  </w:num>
  <w:num w:numId="9" w16cid:durableId="1521432554">
    <w:abstractNumId w:val="13"/>
  </w:num>
  <w:num w:numId="10" w16cid:durableId="1624384004">
    <w:abstractNumId w:val="11"/>
  </w:num>
  <w:num w:numId="11" w16cid:durableId="1056005724">
    <w:abstractNumId w:val="9"/>
  </w:num>
  <w:num w:numId="12" w16cid:durableId="1598054019">
    <w:abstractNumId w:val="7"/>
  </w:num>
  <w:num w:numId="13" w16cid:durableId="1440561123">
    <w:abstractNumId w:val="6"/>
  </w:num>
  <w:num w:numId="14" w16cid:durableId="55130086">
    <w:abstractNumId w:val="5"/>
  </w:num>
  <w:num w:numId="15" w16cid:durableId="1895191562">
    <w:abstractNumId w:val="4"/>
  </w:num>
  <w:num w:numId="16" w16cid:durableId="964703121">
    <w:abstractNumId w:val="8"/>
  </w:num>
  <w:num w:numId="17" w16cid:durableId="456797047">
    <w:abstractNumId w:val="3"/>
  </w:num>
  <w:num w:numId="18" w16cid:durableId="410204614">
    <w:abstractNumId w:val="2"/>
  </w:num>
  <w:num w:numId="19" w16cid:durableId="1712413491">
    <w:abstractNumId w:val="1"/>
  </w:num>
  <w:num w:numId="20" w16cid:durableId="133063486">
    <w:abstractNumId w:val="0"/>
  </w:num>
  <w:num w:numId="21" w16cid:durableId="1457675648">
    <w:abstractNumId w:val="19"/>
  </w:num>
  <w:num w:numId="22" w16cid:durableId="1509129763">
    <w:abstractNumId w:val="32"/>
  </w:num>
  <w:num w:numId="23" w16cid:durableId="750128666">
    <w:abstractNumId w:val="25"/>
  </w:num>
  <w:num w:numId="24" w16cid:durableId="1008361959">
    <w:abstractNumId w:val="29"/>
  </w:num>
  <w:num w:numId="25" w16cid:durableId="329449652">
    <w:abstractNumId w:val="14"/>
  </w:num>
  <w:num w:numId="26" w16cid:durableId="377970049">
    <w:abstractNumId w:val="27"/>
  </w:num>
  <w:num w:numId="27" w16cid:durableId="2048986935">
    <w:abstractNumId w:val="22"/>
  </w:num>
  <w:num w:numId="28" w16cid:durableId="1969624841">
    <w:abstractNumId w:val="31"/>
  </w:num>
  <w:num w:numId="29" w16cid:durableId="1862350479">
    <w:abstractNumId w:val="23"/>
  </w:num>
  <w:num w:numId="30" w16cid:durableId="1316256516">
    <w:abstractNumId w:val="16"/>
  </w:num>
  <w:num w:numId="31" w16cid:durableId="338194888">
    <w:abstractNumId w:val="33"/>
  </w:num>
  <w:num w:numId="32" w16cid:durableId="1309818481">
    <w:abstractNumId w:val="18"/>
  </w:num>
  <w:num w:numId="33" w16cid:durableId="1104227301">
    <w:abstractNumId w:val="15"/>
  </w:num>
  <w:num w:numId="34" w16cid:durableId="812450334">
    <w:abstractNumId w:val="10"/>
  </w:num>
  <w:num w:numId="35" w16cid:durableId="151607345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FR" w:vendorID="64" w:dllVersion="6" w:nlCheck="1" w:checkStyle="0"/>
  <w:activeWritingStyle w:appName="MSWord" w:lang="fr-CA"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AF5"/>
    <w:rsid w:val="00004D86"/>
    <w:rsid w:val="000050E3"/>
    <w:rsid w:val="00011B0A"/>
    <w:rsid w:val="00012194"/>
    <w:rsid w:val="00017597"/>
    <w:rsid w:val="00023520"/>
    <w:rsid w:val="00025B64"/>
    <w:rsid w:val="0003045D"/>
    <w:rsid w:val="00042BC3"/>
    <w:rsid w:val="00045E9B"/>
    <w:rsid w:val="00051C99"/>
    <w:rsid w:val="00054AE7"/>
    <w:rsid w:val="00077CA8"/>
    <w:rsid w:val="00083AB6"/>
    <w:rsid w:val="00092F50"/>
    <w:rsid w:val="000A2CFD"/>
    <w:rsid w:val="000B2398"/>
    <w:rsid w:val="000B5E55"/>
    <w:rsid w:val="000D391E"/>
    <w:rsid w:val="000D4383"/>
    <w:rsid w:val="000D733D"/>
    <w:rsid w:val="000E2F28"/>
    <w:rsid w:val="000F6462"/>
    <w:rsid w:val="00102C33"/>
    <w:rsid w:val="00107810"/>
    <w:rsid w:val="00113A85"/>
    <w:rsid w:val="00117E13"/>
    <w:rsid w:val="0012495C"/>
    <w:rsid w:val="00124989"/>
    <w:rsid w:val="001312DD"/>
    <w:rsid w:val="00132F77"/>
    <w:rsid w:val="00146049"/>
    <w:rsid w:val="00162847"/>
    <w:rsid w:val="00162EDE"/>
    <w:rsid w:val="0016341F"/>
    <w:rsid w:val="00166768"/>
    <w:rsid w:val="00166B6C"/>
    <w:rsid w:val="0019612D"/>
    <w:rsid w:val="001B1AF5"/>
    <w:rsid w:val="001E7630"/>
    <w:rsid w:val="001F4E3B"/>
    <w:rsid w:val="001F5DDE"/>
    <w:rsid w:val="001F6080"/>
    <w:rsid w:val="00202D32"/>
    <w:rsid w:val="002138F9"/>
    <w:rsid w:val="002158B3"/>
    <w:rsid w:val="002451E9"/>
    <w:rsid w:val="002505B7"/>
    <w:rsid w:val="00273E88"/>
    <w:rsid w:val="002817BB"/>
    <w:rsid w:val="002843A3"/>
    <w:rsid w:val="00284861"/>
    <w:rsid w:val="00286872"/>
    <w:rsid w:val="00295EC8"/>
    <w:rsid w:val="002A6084"/>
    <w:rsid w:val="002D3A30"/>
    <w:rsid w:val="002F578C"/>
    <w:rsid w:val="003049CD"/>
    <w:rsid w:val="00311CC8"/>
    <w:rsid w:val="0032170D"/>
    <w:rsid w:val="0032696B"/>
    <w:rsid w:val="00345B6F"/>
    <w:rsid w:val="0036350B"/>
    <w:rsid w:val="00370BCF"/>
    <w:rsid w:val="00382046"/>
    <w:rsid w:val="003909A6"/>
    <w:rsid w:val="00391D81"/>
    <w:rsid w:val="00392372"/>
    <w:rsid w:val="003A12F7"/>
    <w:rsid w:val="003D661B"/>
    <w:rsid w:val="003D736C"/>
    <w:rsid w:val="003E2527"/>
    <w:rsid w:val="003F5908"/>
    <w:rsid w:val="003F6D61"/>
    <w:rsid w:val="00400F90"/>
    <w:rsid w:val="0040478F"/>
    <w:rsid w:val="0041167D"/>
    <w:rsid w:val="0041601B"/>
    <w:rsid w:val="00417546"/>
    <w:rsid w:val="00424569"/>
    <w:rsid w:val="0043220B"/>
    <w:rsid w:val="0044042D"/>
    <w:rsid w:val="00456572"/>
    <w:rsid w:val="0045662E"/>
    <w:rsid w:val="004570B9"/>
    <w:rsid w:val="00457276"/>
    <w:rsid w:val="00464FB9"/>
    <w:rsid w:val="00466407"/>
    <w:rsid w:val="00467991"/>
    <w:rsid w:val="004709F4"/>
    <w:rsid w:val="00470B98"/>
    <w:rsid w:val="004909C3"/>
    <w:rsid w:val="004946F9"/>
    <w:rsid w:val="004D1C86"/>
    <w:rsid w:val="004D1D89"/>
    <w:rsid w:val="004D6D36"/>
    <w:rsid w:val="004E5DE2"/>
    <w:rsid w:val="004F6719"/>
    <w:rsid w:val="005124DE"/>
    <w:rsid w:val="005129FB"/>
    <w:rsid w:val="00512C8B"/>
    <w:rsid w:val="00526FDA"/>
    <w:rsid w:val="00535356"/>
    <w:rsid w:val="005520EA"/>
    <w:rsid w:val="0055586D"/>
    <w:rsid w:val="0056605F"/>
    <w:rsid w:val="00572C04"/>
    <w:rsid w:val="00583668"/>
    <w:rsid w:val="00591C0A"/>
    <w:rsid w:val="005929F8"/>
    <w:rsid w:val="005A53AD"/>
    <w:rsid w:val="005F20B5"/>
    <w:rsid w:val="005F62A8"/>
    <w:rsid w:val="0060423A"/>
    <w:rsid w:val="006107E5"/>
    <w:rsid w:val="006219AD"/>
    <w:rsid w:val="0063084B"/>
    <w:rsid w:val="00636612"/>
    <w:rsid w:val="00641236"/>
    <w:rsid w:val="0065086E"/>
    <w:rsid w:val="006532A0"/>
    <w:rsid w:val="00655F9B"/>
    <w:rsid w:val="006619B2"/>
    <w:rsid w:val="00693D1D"/>
    <w:rsid w:val="006A3B17"/>
    <w:rsid w:val="006A400F"/>
    <w:rsid w:val="006B1AC3"/>
    <w:rsid w:val="006B23AE"/>
    <w:rsid w:val="006D7328"/>
    <w:rsid w:val="006E4915"/>
    <w:rsid w:val="006F4AB7"/>
    <w:rsid w:val="006F66E4"/>
    <w:rsid w:val="006F766E"/>
    <w:rsid w:val="00714742"/>
    <w:rsid w:val="00723D51"/>
    <w:rsid w:val="00742E94"/>
    <w:rsid w:val="00743D13"/>
    <w:rsid w:val="00745DDD"/>
    <w:rsid w:val="00754614"/>
    <w:rsid w:val="0075497F"/>
    <w:rsid w:val="00755170"/>
    <w:rsid w:val="0075619F"/>
    <w:rsid w:val="00766094"/>
    <w:rsid w:val="007712E6"/>
    <w:rsid w:val="00782460"/>
    <w:rsid w:val="007B06EB"/>
    <w:rsid w:val="007B1FCC"/>
    <w:rsid w:val="007C177A"/>
    <w:rsid w:val="007D23F3"/>
    <w:rsid w:val="007D64B6"/>
    <w:rsid w:val="00804AF4"/>
    <w:rsid w:val="00807B8F"/>
    <w:rsid w:val="00826873"/>
    <w:rsid w:val="008358B2"/>
    <w:rsid w:val="008441DA"/>
    <w:rsid w:val="00862975"/>
    <w:rsid w:val="00867F3E"/>
    <w:rsid w:val="0088087D"/>
    <w:rsid w:val="008A374B"/>
    <w:rsid w:val="008B1F03"/>
    <w:rsid w:val="008B75EE"/>
    <w:rsid w:val="008C4DE7"/>
    <w:rsid w:val="008C7B04"/>
    <w:rsid w:val="008D1316"/>
    <w:rsid w:val="008D489B"/>
    <w:rsid w:val="008D7C79"/>
    <w:rsid w:val="008E231E"/>
    <w:rsid w:val="008F2E90"/>
    <w:rsid w:val="00932909"/>
    <w:rsid w:val="00960420"/>
    <w:rsid w:val="00975579"/>
    <w:rsid w:val="00976F5C"/>
    <w:rsid w:val="00984145"/>
    <w:rsid w:val="009969CC"/>
    <w:rsid w:val="009A02CB"/>
    <w:rsid w:val="009A21CF"/>
    <w:rsid w:val="009A4C7B"/>
    <w:rsid w:val="009B04FD"/>
    <w:rsid w:val="009D3CFD"/>
    <w:rsid w:val="009D41BC"/>
    <w:rsid w:val="009D7327"/>
    <w:rsid w:val="009D7824"/>
    <w:rsid w:val="009F09C7"/>
    <w:rsid w:val="009F5FCE"/>
    <w:rsid w:val="00A0465B"/>
    <w:rsid w:val="00A047DA"/>
    <w:rsid w:val="00A17446"/>
    <w:rsid w:val="00A22B59"/>
    <w:rsid w:val="00A45820"/>
    <w:rsid w:val="00A45E6E"/>
    <w:rsid w:val="00A52E2A"/>
    <w:rsid w:val="00A709DD"/>
    <w:rsid w:val="00A77E3E"/>
    <w:rsid w:val="00AA0ADC"/>
    <w:rsid w:val="00AA7105"/>
    <w:rsid w:val="00AB5EC3"/>
    <w:rsid w:val="00AC0D53"/>
    <w:rsid w:val="00AF080F"/>
    <w:rsid w:val="00AF3C02"/>
    <w:rsid w:val="00AF3D8E"/>
    <w:rsid w:val="00AF463F"/>
    <w:rsid w:val="00AF7246"/>
    <w:rsid w:val="00AF76E6"/>
    <w:rsid w:val="00B02612"/>
    <w:rsid w:val="00B12D29"/>
    <w:rsid w:val="00B1521E"/>
    <w:rsid w:val="00B15663"/>
    <w:rsid w:val="00B16FAF"/>
    <w:rsid w:val="00B3335C"/>
    <w:rsid w:val="00B33CE9"/>
    <w:rsid w:val="00B36644"/>
    <w:rsid w:val="00B719EB"/>
    <w:rsid w:val="00B75EF6"/>
    <w:rsid w:val="00B801FF"/>
    <w:rsid w:val="00B970B5"/>
    <w:rsid w:val="00BB11E8"/>
    <w:rsid w:val="00BC2DFD"/>
    <w:rsid w:val="00BC4451"/>
    <w:rsid w:val="00BD4E66"/>
    <w:rsid w:val="00BD7838"/>
    <w:rsid w:val="00BE04D0"/>
    <w:rsid w:val="00BF38EE"/>
    <w:rsid w:val="00BF7FDF"/>
    <w:rsid w:val="00C00051"/>
    <w:rsid w:val="00C0133E"/>
    <w:rsid w:val="00C04F06"/>
    <w:rsid w:val="00C079B9"/>
    <w:rsid w:val="00C11EC2"/>
    <w:rsid w:val="00C15297"/>
    <w:rsid w:val="00C322FE"/>
    <w:rsid w:val="00C3793D"/>
    <w:rsid w:val="00C45731"/>
    <w:rsid w:val="00C46F8C"/>
    <w:rsid w:val="00C5261B"/>
    <w:rsid w:val="00C62521"/>
    <w:rsid w:val="00C71E3B"/>
    <w:rsid w:val="00C82E94"/>
    <w:rsid w:val="00C92C50"/>
    <w:rsid w:val="00C97FE8"/>
    <w:rsid w:val="00CA5AC1"/>
    <w:rsid w:val="00CB21A3"/>
    <w:rsid w:val="00CC2DF8"/>
    <w:rsid w:val="00CC312F"/>
    <w:rsid w:val="00CC642A"/>
    <w:rsid w:val="00CD72B0"/>
    <w:rsid w:val="00CE4BFE"/>
    <w:rsid w:val="00CE63A8"/>
    <w:rsid w:val="00CF7201"/>
    <w:rsid w:val="00CF7F73"/>
    <w:rsid w:val="00D2293B"/>
    <w:rsid w:val="00D23D14"/>
    <w:rsid w:val="00D25CC5"/>
    <w:rsid w:val="00D30A86"/>
    <w:rsid w:val="00D33CB6"/>
    <w:rsid w:val="00D35B35"/>
    <w:rsid w:val="00D421B0"/>
    <w:rsid w:val="00D66077"/>
    <w:rsid w:val="00D727F5"/>
    <w:rsid w:val="00D735A7"/>
    <w:rsid w:val="00D73813"/>
    <w:rsid w:val="00D83736"/>
    <w:rsid w:val="00D844D3"/>
    <w:rsid w:val="00DA39F9"/>
    <w:rsid w:val="00DA55CE"/>
    <w:rsid w:val="00DB529A"/>
    <w:rsid w:val="00DC254A"/>
    <w:rsid w:val="00DC6D00"/>
    <w:rsid w:val="00DE3350"/>
    <w:rsid w:val="00E040F7"/>
    <w:rsid w:val="00E05BB9"/>
    <w:rsid w:val="00E1068A"/>
    <w:rsid w:val="00E21DDD"/>
    <w:rsid w:val="00E31D5F"/>
    <w:rsid w:val="00E33437"/>
    <w:rsid w:val="00E378E5"/>
    <w:rsid w:val="00E417E9"/>
    <w:rsid w:val="00E60AEB"/>
    <w:rsid w:val="00E72DE0"/>
    <w:rsid w:val="00E740FA"/>
    <w:rsid w:val="00E84A9F"/>
    <w:rsid w:val="00E87009"/>
    <w:rsid w:val="00E90C45"/>
    <w:rsid w:val="00E96362"/>
    <w:rsid w:val="00EC3AF8"/>
    <w:rsid w:val="00EF6E54"/>
    <w:rsid w:val="00F12486"/>
    <w:rsid w:val="00F12D34"/>
    <w:rsid w:val="00F12D36"/>
    <w:rsid w:val="00F24B07"/>
    <w:rsid w:val="00F35D38"/>
    <w:rsid w:val="00F41C31"/>
    <w:rsid w:val="00F538B1"/>
    <w:rsid w:val="00F607F2"/>
    <w:rsid w:val="00F83CD5"/>
    <w:rsid w:val="00FA1335"/>
    <w:rsid w:val="00FA1587"/>
    <w:rsid w:val="00FB0769"/>
    <w:rsid w:val="00FE0676"/>
    <w:rsid w:val="00FE7859"/>
    <w:rsid w:val="00FE7BD7"/>
    <w:rsid w:val="00FF5C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81AF0"/>
  <w15:docId w15:val="{3F8128A3-014F-4E34-A94A-41600B3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2"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88087D"/>
    <w:pPr>
      <w:spacing w:line="240" w:lineRule="auto"/>
    </w:pPr>
    <w:rPr>
      <w:rFonts w:ascii="Times New Roman" w:hAnsi="Times New Roman"/>
      <w:lang w:val="en-CA"/>
    </w:rPr>
  </w:style>
  <w:style w:type="paragraph" w:styleId="Heading1">
    <w:name w:val="heading 1"/>
    <w:aliases w:val="Heading 1 RD"/>
    <w:basedOn w:val="Heading2"/>
    <w:next w:val="Normal"/>
    <w:link w:val="Heading1Char"/>
    <w:uiPriority w:val="9"/>
    <w:qFormat/>
    <w:rsid w:val="00113A85"/>
    <w:pPr>
      <w:numPr>
        <w:numId w:val="0"/>
      </w:numPr>
      <w:spacing w:before="0"/>
      <w:outlineLvl w:val="0"/>
    </w:pPr>
    <w:rPr>
      <w:rFonts w:ascii="Arial" w:hAnsi="Arial" w:cs="Arial"/>
      <w:sz w:val="54"/>
      <w:szCs w:val="54"/>
      <w:lang w:val="fr-CA"/>
    </w:rPr>
  </w:style>
  <w:style w:type="paragraph" w:styleId="Heading2">
    <w:name w:val="heading 2"/>
    <w:aliases w:val="First Level Heading,RD Heading 2"/>
    <w:basedOn w:val="Normal"/>
    <w:next w:val="BodyText"/>
    <w:link w:val="Heading2Char"/>
    <w:uiPriority w:val="9"/>
    <w:unhideWhenUsed/>
    <w:qFormat/>
    <w:rsid w:val="00113A85"/>
    <w:pPr>
      <w:keepNext/>
      <w:numPr>
        <w:numId w:val="1"/>
      </w:numPr>
      <w:spacing w:before="360" w:after="240"/>
      <w:ind w:left="720" w:hanging="720"/>
      <w:contextualSpacing/>
      <w:outlineLvl w:val="1"/>
    </w:pPr>
    <w:rPr>
      <w:b/>
      <w:sz w:val="24"/>
    </w:rPr>
  </w:style>
  <w:style w:type="paragraph" w:styleId="Heading3">
    <w:name w:val="heading 3"/>
    <w:aliases w:val="Second Level Heading,RD Heading 3"/>
    <w:basedOn w:val="Normal"/>
    <w:next w:val="BodyText"/>
    <w:link w:val="Heading3Char"/>
    <w:uiPriority w:val="10"/>
    <w:unhideWhenUsed/>
    <w:qFormat/>
    <w:rsid w:val="00113A85"/>
    <w:pPr>
      <w:keepNext/>
      <w:numPr>
        <w:ilvl w:val="1"/>
        <w:numId w:val="1"/>
      </w:numPr>
      <w:spacing w:after="240"/>
      <w:ind w:left="1440" w:hanging="720"/>
      <w:outlineLvl w:val="2"/>
    </w:pPr>
    <w:rPr>
      <w:b/>
    </w:rPr>
  </w:style>
  <w:style w:type="paragraph" w:styleId="Heading4">
    <w:name w:val="heading 4"/>
    <w:aliases w:val="Third Level Heading,RD Heading 4"/>
    <w:basedOn w:val="Heading3"/>
    <w:next w:val="BodyText"/>
    <w:link w:val="Heading4Char"/>
    <w:uiPriority w:val="11"/>
    <w:unhideWhenUsed/>
    <w:qFormat/>
    <w:rsid w:val="00D2293B"/>
    <w:pPr>
      <w:numPr>
        <w:ilvl w:val="2"/>
      </w:numPr>
      <w:ind w:left="1440" w:hanging="720"/>
      <w:outlineLvl w:val="3"/>
    </w:pPr>
  </w:style>
  <w:style w:type="paragraph" w:styleId="Heading5">
    <w:name w:val="heading 5"/>
    <w:aliases w:val="Fourth Level Heading,RD Heading 5"/>
    <w:basedOn w:val="Heading4"/>
    <w:next w:val="BodyText"/>
    <w:link w:val="Heading5Char"/>
    <w:uiPriority w:val="12"/>
    <w:unhideWhenUsed/>
    <w:qFormat/>
    <w:rsid w:val="00AF463F"/>
    <w:pPr>
      <w:numPr>
        <w:ilvl w:val="3"/>
      </w:numPr>
      <w:ind w:left="1440" w:hanging="720"/>
      <w:outlineLvl w:val="4"/>
    </w:pPr>
  </w:style>
  <w:style w:type="paragraph" w:styleId="Heading6">
    <w:name w:val="heading 6"/>
    <w:aliases w:val="RD Heading 6"/>
    <w:basedOn w:val="Heading5"/>
    <w:next w:val="Normal"/>
    <w:link w:val="Heading6Char"/>
    <w:qFormat/>
    <w:rsid w:val="00A45E6E"/>
    <w:pPr>
      <w:numPr>
        <w:ilvl w:val="0"/>
        <w:numId w:val="0"/>
      </w:numPr>
      <w:tabs>
        <w:tab w:val="left" w:pos="720"/>
        <w:tab w:val="left" w:pos="1440"/>
        <w:tab w:val="left" w:pos="1800"/>
        <w:tab w:val="left" w:pos="2160"/>
        <w:tab w:val="left" w:pos="2520"/>
        <w:tab w:val="left" w:pos="2880"/>
      </w:tabs>
      <w:autoSpaceDE w:val="0"/>
      <w:autoSpaceDN w:val="0"/>
      <w:adjustRightInd w:val="0"/>
      <w:spacing w:before="240" w:after="120"/>
      <w:ind w:left="1440" w:hanging="720"/>
      <w:outlineLvl w:val="5"/>
    </w:pPr>
    <w:rPr>
      <w:rFonts w:ascii="Times New Roman Bold" w:eastAsia="Times New Roman" w:hAnsi="Times New Roman Bold" w:cs="Times New Roman"/>
      <w:b w:val="0"/>
      <w:iCs/>
      <w:color w:val="000000"/>
      <w:lang w:val="en-US"/>
    </w:rPr>
  </w:style>
  <w:style w:type="paragraph" w:styleId="Heading7">
    <w:name w:val="heading 7"/>
    <w:aliases w:val="RD Heading 7"/>
    <w:basedOn w:val="Heading6"/>
    <w:next w:val="Normal"/>
    <w:link w:val="Heading7Char"/>
    <w:qFormat/>
    <w:rsid w:val="00A45E6E"/>
    <w:pPr>
      <w:tabs>
        <w:tab w:val="left" w:pos="3240"/>
        <w:tab w:val="left" w:pos="3600"/>
      </w:tabs>
      <w:outlineLvl w:val="6"/>
    </w:pPr>
  </w:style>
  <w:style w:type="paragraph" w:styleId="Heading8">
    <w:name w:val="heading 8"/>
    <w:aliases w:val="RD Heading 8"/>
    <w:basedOn w:val="Heading7"/>
    <w:next w:val="Normal"/>
    <w:link w:val="Heading8Char"/>
    <w:qFormat/>
    <w:rsid w:val="00A45E6E"/>
    <w:pPr>
      <w:tabs>
        <w:tab w:val="num" w:pos="1440"/>
      </w:tabs>
      <w:outlineLvl w:val="7"/>
    </w:pPr>
    <w:rPr>
      <w:b/>
      <w:iCs w:val="0"/>
    </w:rPr>
  </w:style>
  <w:style w:type="paragraph" w:styleId="Heading9">
    <w:name w:val="heading 9"/>
    <w:aliases w:val="RD Heading 9"/>
    <w:basedOn w:val="Heading8"/>
    <w:next w:val="Normal"/>
    <w:link w:val="Heading9Char"/>
    <w:qFormat/>
    <w:rsid w:val="00A45E6E"/>
    <w:pPr>
      <w:tabs>
        <w:tab w:val="left" w:pos="1440"/>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D"/>
    <w:basedOn w:val="Normal"/>
    <w:link w:val="HeaderChar"/>
    <w:uiPriority w:val="99"/>
    <w:unhideWhenUsed/>
    <w:rsid w:val="001B1AF5"/>
    <w:pPr>
      <w:pBdr>
        <w:bottom w:val="single" w:sz="4" w:space="1" w:color="auto"/>
      </w:pBdr>
      <w:tabs>
        <w:tab w:val="right" w:pos="9360"/>
      </w:tabs>
      <w:spacing w:after="0"/>
    </w:pPr>
    <w:rPr>
      <w:sz w:val="20"/>
    </w:rPr>
  </w:style>
  <w:style w:type="character" w:customStyle="1" w:styleId="HeaderChar">
    <w:name w:val="Header Char"/>
    <w:aliases w:val="RD Char"/>
    <w:basedOn w:val="DefaultParagraphFont"/>
    <w:link w:val="Header"/>
    <w:uiPriority w:val="99"/>
    <w:rsid w:val="001B1AF5"/>
    <w:rPr>
      <w:rFonts w:ascii="Times New Roman" w:hAnsi="Times New Roman"/>
      <w:sz w:val="20"/>
      <w:lang w:val="en-CA"/>
    </w:rPr>
  </w:style>
  <w:style w:type="paragraph" w:styleId="Footer">
    <w:name w:val="footer"/>
    <w:basedOn w:val="Normal"/>
    <w:link w:val="FooterChar"/>
    <w:uiPriority w:val="99"/>
    <w:unhideWhenUsed/>
    <w:rsid w:val="00655F9B"/>
    <w:pPr>
      <w:tabs>
        <w:tab w:val="center" w:pos="4680"/>
        <w:tab w:val="right" w:pos="9360"/>
      </w:tabs>
      <w:spacing w:after="0"/>
    </w:pPr>
    <w:rPr>
      <w:sz w:val="20"/>
    </w:rPr>
  </w:style>
  <w:style w:type="character" w:customStyle="1" w:styleId="FooterChar">
    <w:name w:val="Footer Char"/>
    <w:basedOn w:val="DefaultParagraphFont"/>
    <w:link w:val="Footer"/>
    <w:uiPriority w:val="99"/>
    <w:rsid w:val="00655F9B"/>
    <w:rPr>
      <w:rFonts w:ascii="Times New Roman" w:hAnsi="Times New Roman"/>
      <w:sz w:val="20"/>
      <w:lang w:val="en-CA"/>
    </w:rPr>
  </w:style>
  <w:style w:type="character" w:styleId="Hyperlink">
    <w:name w:val="Hyperlink"/>
    <w:aliases w:val="RD Hyperlink"/>
    <w:uiPriority w:val="99"/>
    <w:rsid w:val="001B1AF5"/>
    <w:rPr>
      <w:rFonts w:ascii="Times New Roman" w:hAnsi="Times New Roman"/>
      <w:dstrike w:val="0"/>
      <w:color w:val="0000FF"/>
      <w:sz w:val="22"/>
      <w:u w:val="single" w:color="0000FF"/>
      <w:vertAlign w:val="baseline"/>
    </w:rPr>
  </w:style>
  <w:style w:type="character" w:customStyle="1" w:styleId="Heading2Char">
    <w:name w:val="Heading 2 Char"/>
    <w:aliases w:val="First Level Heading Char,RD Heading 2 Char"/>
    <w:basedOn w:val="DefaultParagraphFont"/>
    <w:link w:val="Heading2"/>
    <w:uiPriority w:val="9"/>
    <w:rsid w:val="00113A85"/>
    <w:rPr>
      <w:rFonts w:ascii="Times New Roman" w:hAnsi="Times New Roman"/>
      <w:b/>
      <w:sz w:val="24"/>
      <w:lang w:val="en-CA"/>
    </w:rPr>
  </w:style>
  <w:style w:type="character" w:customStyle="1" w:styleId="Instructions">
    <w:name w:val="Instructions"/>
    <w:basedOn w:val="DefaultParagraphFont"/>
    <w:uiPriority w:val="29"/>
    <w:qFormat/>
    <w:rsid w:val="001B1AF5"/>
    <w:rPr>
      <w:color w:val="0000FF"/>
    </w:rPr>
  </w:style>
  <w:style w:type="character" w:styleId="Strong">
    <w:name w:val="Strong"/>
    <w:basedOn w:val="DefaultParagraphFont"/>
    <w:qFormat/>
    <w:rsid w:val="009D3CFD"/>
    <w:rPr>
      <w:b/>
      <w:bCs/>
    </w:rPr>
  </w:style>
  <w:style w:type="paragraph" w:customStyle="1" w:styleId="NoteText">
    <w:name w:val="Note Text"/>
    <w:basedOn w:val="Normal"/>
    <w:link w:val="NoteTextChar"/>
    <w:semiHidden/>
    <w:qFormat/>
    <w:rsid w:val="00655F9B"/>
    <w:pPr>
      <w:pBdr>
        <w:top w:val="single" w:sz="4" w:space="6" w:color="auto"/>
        <w:left w:val="single" w:sz="4" w:space="6" w:color="auto"/>
        <w:bottom w:val="single" w:sz="4" w:space="6" w:color="auto"/>
        <w:right w:val="single" w:sz="4" w:space="6" w:color="auto"/>
      </w:pBdr>
      <w:shd w:val="clear" w:color="auto" w:fill="D9D9D9" w:themeFill="background1" w:themeFillShade="D9"/>
      <w:ind w:left="144" w:right="144"/>
    </w:pPr>
    <w:rPr>
      <w:lang w:val="en-US"/>
    </w:rPr>
  </w:style>
  <w:style w:type="character" w:customStyle="1" w:styleId="NoteTextChar">
    <w:name w:val="Note Text Char"/>
    <w:basedOn w:val="DefaultParagraphFont"/>
    <w:link w:val="NoteText"/>
    <w:semiHidden/>
    <w:rsid w:val="008C4DE7"/>
    <w:rPr>
      <w:rFonts w:ascii="Times New Roman" w:hAnsi="Times New Roman"/>
      <w:shd w:val="clear" w:color="auto" w:fill="D9D9D9" w:themeFill="background1" w:themeFillShade="D9"/>
      <w:lang w:val="en-US"/>
    </w:rPr>
  </w:style>
  <w:style w:type="paragraph" w:styleId="Title">
    <w:name w:val="Title"/>
    <w:basedOn w:val="Normal"/>
    <w:next w:val="Normal"/>
    <w:link w:val="TitleChar"/>
    <w:uiPriority w:val="10"/>
    <w:semiHidden/>
    <w:qFormat/>
    <w:rsid w:val="00655F9B"/>
    <w:pPr>
      <w:spacing w:after="360"/>
      <w:jc w:val="center"/>
    </w:pPr>
    <w:rPr>
      <w:b/>
      <w:sz w:val="26"/>
      <w:szCs w:val="26"/>
    </w:rPr>
  </w:style>
  <w:style w:type="character" w:customStyle="1" w:styleId="TitleChar">
    <w:name w:val="Title Char"/>
    <w:basedOn w:val="DefaultParagraphFont"/>
    <w:link w:val="Title"/>
    <w:uiPriority w:val="10"/>
    <w:semiHidden/>
    <w:rsid w:val="008C4DE7"/>
    <w:rPr>
      <w:rFonts w:ascii="Times New Roman" w:hAnsi="Times New Roman"/>
      <w:b/>
      <w:sz w:val="26"/>
      <w:szCs w:val="26"/>
      <w:lang w:val="en-CA"/>
    </w:rPr>
  </w:style>
  <w:style w:type="paragraph" w:styleId="ListParagraph">
    <w:name w:val="List Paragraph"/>
    <w:basedOn w:val="Normal"/>
    <w:link w:val="ListParagraphChar"/>
    <w:uiPriority w:val="34"/>
    <w:qFormat/>
    <w:rsid w:val="00867F3E"/>
    <w:pPr>
      <w:numPr>
        <w:numId w:val="2"/>
      </w:numPr>
      <w:contextualSpacing/>
    </w:pPr>
  </w:style>
  <w:style w:type="character" w:customStyle="1" w:styleId="Heading1Char">
    <w:name w:val="Heading 1 Char"/>
    <w:aliases w:val="Heading 1 RD Char"/>
    <w:basedOn w:val="DefaultParagraphFont"/>
    <w:link w:val="Heading1"/>
    <w:uiPriority w:val="9"/>
    <w:rsid w:val="00113A85"/>
    <w:rPr>
      <w:rFonts w:ascii="Arial" w:hAnsi="Arial" w:cs="Arial"/>
      <w:b/>
      <w:sz w:val="54"/>
      <w:szCs w:val="54"/>
    </w:rPr>
  </w:style>
  <w:style w:type="character" w:customStyle="1" w:styleId="Heading3Char">
    <w:name w:val="Heading 3 Char"/>
    <w:aliases w:val="Second Level Heading Char,RD Heading 3 Char"/>
    <w:basedOn w:val="DefaultParagraphFont"/>
    <w:link w:val="Heading3"/>
    <w:uiPriority w:val="10"/>
    <w:rsid w:val="00113A85"/>
    <w:rPr>
      <w:rFonts w:ascii="Times New Roman" w:hAnsi="Times New Roman"/>
      <w:b/>
      <w:lang w:val="en-CA"/>
    </w:rPr>
  </w:style>
  <w:style w:type="character" w:customStyle="1" w:styleId="ListParagraphChar">
    <w:name w:val="List Paragraph Char"/>
    <w:basedOn w:val="DefaultParagraphFont"/>
    <w:link w:val="ListParagraph"/>
    <w:uiPriority w:val="34"/>
    <w:rsid w:val="00867F3E"/>
    <w:rPr>
      <w:rFonts w:ascii="Times New Roman" w:hAnsi="Times New Roman"/>
      <w:lang w:val="en-CA"/>
    </w:rPr>
  </w:style>
  <w:style w:type="paragraph" w:styleId="BodyText">
    <w:name w:val="Body Text"/>
    <w:basedOn w:val="Normal"/>
    <w:link w:val="BodyTextChar"/>
    <w:uiPriority w:val="4"/>
    <w:qFormat/>
    <w:rsid w:val="007712E6"/>
    <w:pPr>
      <w:ind w:left="720"/>
    </w:pPr>
  </w:style>
  <w:style w:type="character" w:customStyle="1" w:styleId="BodyTextChar">
    <w:name w:val="Body Text Char"/>
    <w:basedOn w:val="DefaultParagraphFont"/>
    <w:link w:val="BodyText"/>
    <w:uiPriority w:val="4"/>
    <w:rsid w:val="007712E6"/>
    <w:rPr>
      <w:rFonts w:ascii="Times New Roman" w:hAnsi="Times New Roman"/>
      <w:lang w:val="en-CA"/>
    </w:rPr>
  </w:style>
  <w:style w:type="character" w:customStyle="1" w:styleId="Heading4Char">
    <w:name w:val="Heading 4 Char"/>
    <w:aliases w:val="Third Level Heading Char,RD Heading 4 Char"/>
    <w:basedOn w:val="DefaultParagraphFont"/>
    <w:link w:val="Heading4"/>
    <w:uiPriority w:val="11"/>
    <w:rsid w:val="00D2293B"/>
    <w:rPr>
      <w:rFonts w:ascii="Times New Roman" w:hAnsi="Times New Roman"/>
      <w:b/>
      <w:lang w:val="en-CA"/>
    </w:rPr>
  </w:style>
  <w:style w:type="character" w:customStyle="1" w:styleId="Heading5Char">
    <w:name w:val="Heading 5 Char"/>
    <w:aliases w:val="Fourth Level Heading Char,RD Heading 5 Char"/>
    <w:basedOn w:val="DefaultParagraphFont"/>
    <w:link w:val="Heading5"/>
    <w:uiPriority w:val="12"/>
    <w:rsid w:val="00C45731"/>
    <w:rPr>
      <w:rFonts w:ascii="Times New Roman" w:hAnsi="Times New Roman"/>
      <w:b/>
      <w:lang w:val="en-CA"/>
    </w:rPr>
  </w:style>
  <w:style w:type="paragraph" w:styleId="FootnoteText">
    <w:name w:val="footnote text"/>
    <w:aliases w:val="RD Footnote Text"/>
    <w:basedOn w:val="Normal"/>
    <w:link w:val="FootnoteTextChar"/>
    <w:uiPriority w:val="99"/>
    <w:unhideWhenUsed/>
    <w:rsid w:val="00C322FE"/>
    <w:pPr>
      <w:spacing w:after="0"/>
    </w:pPr>
    <w:rPr>
      <w:sz w:val="20"/>
      <w:szCs w:val="20"/>
    </w:rPr>
  </w:style>
  <w:style w:type="character" w:customStyle="1" w:styleId="FootnoteTextChar">
    <w:name w:val="Footnote Text Char"/>
    <w:aliases w:val="RD Footnote Text Char"/>
    <w:basedOn w:val="DefaultParagraphFont"/>
    <w:link w:val="FootnoteText"/>
    <w:uiPriority w:val="99"/>
    <w:rsid w:val="00C322FE"/>
    <w:rPr>
      <w:rFonts w:ascii="Times New Roman" w:hAnsi="Times New Roman"/>
      <w:sz w:val="20"/>
      <w:szCs w:val="20"/>
      <w:lang w:val="en-CA"/>
    </w:rPr>
  </w:style>
  <w:style w:type="character" w:styleId="FootnoteReference">
    <w:name w:val="footnote reference"/>
    <w:basedOn w:val="DefaultParagraphFont"/>
    <w:uiPriority w:val="99"/>
    <w:semiHidden/>
    <w:unhideWhenUsed/>
    <w:rsid w:val="00C322FE"/>
    <w:rPr>
      <w:vertAlign w:val="superscript"/>
    </w:rPr>
  </w:style>
  <w:style w:type="paragraph" w:customStyle="1" w:styleId="TableTopCells">
    <w:name w:val="Table Top Cells"/>
    <w:basedOn w:val="Normal"/>
    <w:uiPriority w:val="14"/>
    <w:rsid w:val="009B04FD"/>
    <w:pPr>
      <w:autoSpaceDE w:val="0"/>
      <w:autoSpaceDN w:val="0"/>
      <w:adjustRightInd w:val="0"/>
      <w:spacing w:before="120" w:after="120"/>
      <w:jc w:val="center"/>
    </w:pPr>
    <w:rPr>
      <w:rFonts w:eastAsia="Times New Roman" w:cs="Times New Roman"/>
      <w:b/>
      <w:bCs/>
      <w:color w:val="000000"/>
      <w:szCs w:val="20"/>
      <w:lang w:val="en-US"/>
    </w:rPr>
  </w:style>
  <w:style w:type="paragraph" w:customStyle="1" w:styleId="TableRowNumbers">
    <w:name w:val="Table Row Numbers"/>
    <w:basedOn w:val="Normal"/>
    <w:uiPriority w:val="14"/>
    <w:rsid w:val="00C322FE"/>
    <w:pPr>
      <w:autoSpaceDE w:val="0"/>
      <w:autoSpaceDN w:val="0"/>
      <w:adjustRightInd w:val="0"/>
      <w:spacing w:before="80" w:after="40"/>
      <w:ind w:right="43"/>
      <w:jc w:val="center"/>
    </w:pPr>
    <w:rPr>
      <w:rFonts w:eastAsia="Times New Roman" w:cs="Times New Roman"/>
      <w:color w:val="000000"/>
      <w:szCs w:val="20"/>
      <w:lang w:val="en-US"/>
    </w:rPr>
  </w:style>
  <w:style w:type="paragraph" w:styleId="Caption">
    <w:name w:val="caption"/>
    <w:basedOn w:val="Normal"/>
    <w:next w:val="Normal"/>
    <w:uiPriority w:val="35"/>
    <w:unhideWhenUsed/>
    <w:qFormat/>
    <w:rsid w:val="00C322FE"/>
    <w:pPr>
      <w:keepNext/>
      <w:ind w:left="708"/>
    </w:pPr>
    <w:rPr>
      <w:b/>
      <w:iCs/>
      <w:color w:val="000000" w:themeColor="text1"/>
    </w:rPr>
  </w:style>
  <w:style w:type="table" w:customStyle="1" w:styleId="StandardTable">
    <w:name w:val="Standard Table"/>
    <w:basedOn w:val="TableNormal"/>
    <w:uiPriority w:val="99"/>
    <w:rsid w:val="00C322F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vAlign w:val="center"/>
    </w:tcPr>
  </w:style>
  <w:style w:type="paragraph" w:customStyle="1" w:styleId="TableCellContents">
    <w:name w:val="Table Cell Contents"/>
    <w:basedOn w:val="Normal"/>
    <w:link w:val="TableCellContentsChar"/>
    <w:uiPriority w:val="14"/>
    <w:qFormat/>
    <w:rsid w:val="00BD4E66"/>
    <w:pPr>
      <w:keepNext/>
      <w:tabs>
        <w:tab w:val="left" w:pos="180"/>
        <w:tab w:val="left" w:pos="360"/>
        <w:tab w:val="left" w:pos="540"/>
        <w:tab w:val="left" w:pos="720"/>
      </w:tabs>
      <w:autoSpaceDE w:val="0"/>
      <w:autoSpaceDN w:val="0"/>
      <w:adjustRightInd w:val="0"/>
      <w:spacing w:before="80" w:after="40"/>
    </w:pPr>
    <w:rPr>
      <w:rFonts w:eastAsia="Times New Roman" w:cs="Times New Roman"/>
      <w:color w:val="000000"/>
      <w:szCs w:val="20"/>
      <w:lang w:val="en-US"/>
    </w:rPr>
  </w:style>
  <w:style w:type="character" w:customStyle="1" w:styleId="TableCellContentsChar">
    <w:name w:val="Table Cell Contents Char"/>
    <w:basedOn w:val="DefaultParagraphFont"/>
    <w:link w:val="TableCellContents"/>
    <w:uiPriority w:val="14"/>
    <w:rsid w:val="00BD4E66"/>
    <w:rPr>
      <w:rFonts w:ascii="Times New Roman" w:eastAsia="Times New Roman" w:hAnsi="Times New Roman" w:cs="Times New Roman"/>
      <w:color w:val="000000"/>
      <w:szCs w:val="20"/>
      <w:lang w:val="en-US"/>
    </w:rPr>
  </w:style>
  <w:style w:type="paragraph" w:customStyle="1" w:styleId="AppendixLevel1">
    <w:name w:val="Appendix Level 1"/>
    <w:basedOn w:val="Heading2"/>
    <w:link w:val="AppendixLevel1Char"/>
    <w:uiPriority w:val="24"/>
    <w:qFormat/>
    <w:rsid w:val="00E21DDD"/>
    <w:pPr>
      <w:numPr>
        <w:ilvl w:val="1"/>
        <w:numId w:val="3"/>
      </w:numPr>
      <w:spacing w:after="360"/>
      <w:jc w:val="center"/>
    </w:pPr>
    <w:rPr>
      <w:sz w:val="26"/>
      <w:szCs w:val="26"/>
    </w:rPr>
  </w:style>
  <w:style w:type="paragraph" w:customStyle="1" w:styleId="AppendixLevel2">
    <w:name w:val="Appendix Level 2"/>
    <w:basedOn w:val="Heading3"/>
    <w:link w:val="AppendixLevel2Char"/>
    <w:uiPriority w:val="24"/>
    <w:qFormat/>
    <w:rsid w:val="0041601B"/>
    <w:pPr>
      <w:numPr>
        <w:ilvl w:val="2"/>
        <w:numId w:val="3"/>
      </w:numPr>
    </w:pPr>
    <w:rPr>
      <w:sz w:val="24"/>
      <w:lang w:val="en-US"/>
    </w:rPr>
  </w:style>
  <w:style w:type="character" w:customStyle="1" w:styleId="AppendixLevel1Char">
    <w:name w:val="Appendix Level 1 Char"/>
    <w:basedOn w:val="Heading2Char"/>
    <w:link w:val="AppendixLevel1"/>
    <w:uiPriority w:val="24"/>
    <w:rsid w:val="008C4DE7"/>
    <w:rPr>
      <w:rFonts w:ascii="Times New Roman" w:hAnsi="Times New Roman"/>
      <w:b/>
      <w:sz w:val="26"/>
      <w:szCs w:val="26"/>
      <w:lang w:val="en-CA"/>
    </w:rPr>
  </w:style>
  <w:style w:type="paragraph" w:customStyle="1" w:styleId="AppendixLevel3">
    <w:name w:val="Appendix Level 3"/>
    <w:basedOn w:val="Heading4"/>
    <w:link w:val="AppendixLevel3Char"/>
    <w:uiPriority w:val="24"/>
    <w:qFormat/>
    <w:rsid w:val="0041601B"/>
    <w:pPr>
      <w:numPr>
        <w:ilvl w:val="3"/>
        <w:numId w:val="3"/>
      </w:numPr>
    </w:pPr>
    <w:rPr>
      <w:lang w:val="en-US"/>
    </w:rPr>
  </w:style>
  <w:style w:type="character" w:customStyle="1" w:styleId="AppendixLevel2Char">
    <w:name w:val="Appendix Level 2 Char"/>
    <w:basedOn w:val="Heading3Char"/>
    <w:link w:val="AppendixLevel2"/>
    <w:uiPriority w:val="24"/>
    <w:rsid w:val="008C4DE7"/>
    <w:rPr>
      <w:rFonts w:ascii="Times New Roman" w:hAnsi="Times New Roman"/>
      <w:b/>
      <w:sz w:val="24"/>
      <w:lang w:val="en-US"/>
    </w:rPr>
  </w:style>
  <w:style w:type="paragraph" w:customStyle="1" w:styleId="AppendixLevel4">
    <w:name w:val="Appendix Level 4"/>
    <w:basedOn w:val="Heading5"/>
    <w:link w:val="AppendixLevel4Char"/>
    <w:uiPriority w:val="24"/>
    <w:qFormat/>
    <w:rsid w:val="0041601B"/>
    <w:pPr>
      <w:numPr>
        <w:ilvl w:val="4"/>
        <w:numId w:val="3"/>
      </w:numPr>
    </w:pPr>
    <w:rPr>
      <w:lang w:val="en-US"/>
    </w:rPr>
  </w:style>
  <w:style w:type="character" w:customStyle="1" w:styleId="AppendixLevel3Char">
    <w:name w:val="Appendix Level 3 Char"/>
    <w:basedOn w:val="Heading4Char"/>
    <w:link w:val="AppendixLevel3"/>
    <w:uiPriority w:val="24"/>
    <w:rsid w:val="008C4DE7"/>
    <w:rPr>
      <w:rFonts w:ascii="Times New Roman" w:hAnsi="Times New Roman"/>
      <w:b/>
      <w:lang w:val="en-US"/>
    </w:rPr>
  </w:style>
  <w:style w:type="character" w:customStyle="1" w:styleId="AppendixLevel4Char">
    <w:name w:val="Appendix Level 4 Char"/>
    <w:basedOn w:val="Heading5Char"/>
    <w:link w:val="AppendixLevel4"/>
    <w:uiPriority w:val="24"/>
    <w:rsid w:val="008C4DE7"/>
    <w:rPr>
      <w:rFonts w:ascii="Times New Roman" w:hAnsi="Times New Roman"/>
      <w:b/>
      <w:lang w:val="en-US"/>
    </w:rPr>
  </w:style>
  <w:style w:type="paragraph" w:styleId="NoSpacing">
    <w:name w:val="No Spacing"/>
    <w:uiPriority w:val="1"/>
    <w:semiHidden/>
    <w:qFormat/>
    <w:rsid w:val="00BC2DFD"/>
    <w:pPr>
      <w:spacing w:after="0" w:line="240" w:lineRule="auto"/>
    </w:pPr>
    <w:rPr>
      <w:rFonts w:ascii="Times New Roman" w:hAnsi="Times New Roman" w:cs="Times New Roman"/>
      <w:lang w:val="en-US"/>
    </w:rPr>
  </w:style>
  <w:style w:type="character" w:styleId="Emphasis">
    <w:name w:val="Emphasis"/>
    <w:basedOn w:val="DefaultParagraphFont"/>
    <w:qFormat/>
    <w:rsid w:val="00BC2DFD"/>
    <w:rPr>
      <w:i/>
      <w:iCs/>
    </w:rPr>
  </w:style>
  <w:style w:type="paragraph" w:customStyle="1" w:styleId="Series">
    <w:name w:val="Series"/>
    <w:basedOn w:val="Normal"/>
    <w:link w:val="SeriesChar"/>
    <w:semiHidden/>
    <w:qFormat/>
    <w:rsid w:val="00113A85"/>
    <w:pPr>
      <w:spacing w:after="0"/>
    </w:pPr>
    <w:rPr>
      <w:rFonts w:ascii="Arial" w:hAnsi="Arial" w:cs="Arial"/>
      <w:sz w:val="44"/>
      <w:lang w:val="fr-CA"/>
    </w:rPr>
  </w:style>
  <w:style w:type="paragraph" w:styleId="TOC1">
    <w:name w:val="toc 1"/>
    <w:basedOn w:val="Normal"/>
    <w:next w:val="Normal"/>
    <w:autoRedefine/>
    <w:uiPriority w:val="39"/>
    <w:unhideWhenUsed/>
    <w:rsid w:val="00AC0D53"/>
    <w:pPr>
      <w:keepNext/>
      <w:tabs>
        <w:tab w:val="left" w:pos="720"/>
        <w:tab w:val="right" w:leader="dot" w:pos="9350"/>
      </w:tabs>
      <w:spacing w:before="240" w:after="120"/>
      <w:ind w:left="720" w:hanging="720"/>
    </w:pPr>
    <w:rPr>
      <w:b/>
      <w:noProof/>
    </w:rPr>
  </w:style>
  <w:style w:type="paragraph" w:styleId="TOC2">
    <w:name w:val="toc 2"/>
    <w:basedOn w:val="Normal"/>
    <w:next w:val="Normal"/>
    <w:autoRedefine/>
    <w:uiPriority w:val="39"/>
    <w:unhideWhenUsed/>
    <w:rsid w:val="00755170"/>
    <w:pPr>
      <w:tabs>
        <w:tab w:val="left" w:pos="1440"/>
        <w:tab w:val="right" w:leader="dot" w:pos="9350"/>
      </w:tabs>
      <w:spacing w:after="100"/>
      <w:ind w:left="1440" w:hanging="720"/>
    </w:pPr>
  </w:style>
  <w:style w:type="paragraph" w:styleId="TOC3">
    <w:name w:val="toc 3"/>
    <w:basedOn w:val="Normal"/>
    <w:next w:val="Normal"/>
    <w:autoRedefine/>
    <w:uiPriority w:val="39"/>
    <w:unhideWhenUsed/>
    <w:rsid w:val="0045662E"/>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45662E"/>
    <w:pPr>
      <w:tabs>
        <w:tab w:val="left" w:pos="2880"/>
        <w:tab w:val="right" w:leader="dot" w:pos="9350"/>
      </w:tabs>
      <w:spacing w:after="100"/>
      <w:ind w:left="2880" w:hanging="720"/>
    </w:pPr>
  </w:style>
  <w:style w:type="paragraph" w:customStyle="1" w:styleId="GlossaryTerm">
    <w:name w:val="Glossary Term"/>
    <w:basedOn w:val="Normal"/>
    <w:link w:val="GlossaryTermChar"/>
    <w:uiPriority w:val="24"/>
    <w:qFormat/>
    <w:rsid w:val="000A2CFD"/>
    <w:pPr>
      <w:keepNext/>
      <w:spacing w:after="0"/>
    </w:pPr>
    <w:rPr>
      <w:b/>
      <w:lang w:val="en-US"/>
    </w:rPr>
  </w:style>
  <w:style w:type="character" w:customStyle="1" w:styleId="GlossaryTermChar">
    <w:name w:val="Glossary Term Char"/>
    <w:basedOn w:val="DefaultParagraphFont"/>
    <w:link w:val="GlossaryTerm"/>
    <w:uiPriority w:val="24"/>
    <w:rsid w:val="008C4DE7"/>
    <w:rPr>
      <w:rFonts w:ascii="Times New Roman" w:hAnsi="Times New Roman"/>
      <w:b/>
      <w:lang w:val="en-US"/>
    </w:rPr>
  </w:style>
  <w:style w:type="paragraph" w:customStyle="1" w:styleId="Heading1-Secondary">
    <w:name w:val="Heading 1 - Secondary"/>
    <w:basedOn w:val="Normal"/>
    <w:next w:val="BodyText"/>
    <w:link w:val="Heading1-SecondaryChar"/>
    <w:semiHidden/>
    <w:qFormat/>
    <w:rsid w:val="00C00051"/>
    <w:pPr>
      <w:spacing w:before="360"/>
    </w:pPr>
    <w:rPr>
      <w:rFonts w:ascii="Arial" w:hAnsi="Arial" w:cs="Arial"/>
      <w:sz w:val="28"/>
    </w:rPr>
  </w:style>
  <w:style w:type="character" w:customStyle="1" w:styleId="SeriesChar">
    <w:name w:val="Series Char"/>
    <w:basedOn w:val="DefaultParagraphFont"/>
    <w:link w:val="Series"/>
    <w:semiHidden/>
    <w:rsid w:val="00113A85"/>
    <w:rPr>
      <w:rFonts w:ascii="Arial" w:hAnsi="Arial" w:cs="Arial"/>
      <w:sz w:val="44"/>
    </w:rPr>
  </w:style>
  <w:style w:type="paragraph" w:customStyle="1" w:styleId="Month">
    <w:name w:val="Month"/>
    <w:basedOn w:val="Normal"/>
    <w:link w:val="MonthChar"/>
    <w:semiHidden/>
    <w:qFormat/>
    <w:rsid w:val="00113A85"/>
    <w:pPr>
      <w:spacing w:before="5040"/>
    </w:pPr>
    <w:rPr>
      <w:rFonts w:ascii="Arial" w:hAnsi="Arial" w:cs="Arial"/>
      <w:noProof/>
      <w:sz w:val="24"/>
      <w:lang w:val="en-US" w:eastAsia="en-CA"/>
    </w:rPr>
  </w:style>
  <w:style w:type="character" w:customStyle="1" w:styleId="Heading1-SecondaryChar">
    <w:name w:val="Heading 1 - Secondary Char"/>
    <w:basedOn w:val="DefaultParagraphFont"/>
    <w:link w:val="Heading1-Secondary"/>
    <w:semiHidden/>
    <w:rsid w:val="008C4DE7"/>
    <w:rPr>
      <w:rFonts w:ascii="Arial" w:hAnsi="Arial" w:cs="Arial"/>
      <w:sz w:val="28"/>
      <w:lang w:val="en-CA"/>
    </w:rPr>
  </w:style>
  <w:style w:type="paragraph" w:customStyle="1" w:styleId="SectionTitle-NoTOC">
    <w:name w:val="Section Title - No TOC"/>
    <w:basedOn w:val="Normal"/>
    <w:link w:val="SectionTitle-NoTOCChar"/>
    <w:uiPriority w:val="13"/>
    <w:qFormat/>
    <w:rsid w:val="00C00051"/>
    <w:pPr>
      <w:spacing w:after="360"/>
      <w:jc w:val="center"/>
    </w:pPr>
    <w:rPr>
      <w:b/>
      <w:sz w:val="26"/>
      <w:szCs w:val="26"/>
    </w:rPr>
  </w:style>
  <w:style w:type="character" w:customStyle="1" w:styleId="MonthChar">
    <w:name w:val="Month Char"/>
    <w:basedOn w:val="DefaultParagraphFont"/>
    <w:link w:val="Month"/>
    <w:semiHidden/>
    <w:rsid w:val="00113A85"/>
    <w:rPr>
      <w:rFonts w:ascii="Arial" w:hAnsi="Arial" w:cs="Arial"/>
      <w:noProof/>
      <w:sz w:val="24"/>
      <w:lang w:val="en-US" w:eastAsia="en-CA"/>
    </w:rPr>
  </w:style>
  <w:style w:type="character" w:customStyle="1" w:styleId="SectionTitle-NoTOCChar">
    <w:name w:val="Section Title - No TOC Char"/>
    <w:basedOn w:val="DefaultParagraphFont"/>
    <w:link w:val="SectionTitle-NoTOC"/>
    <w:uiPriority w:val="13"/>
    <w:rsid w:val="00C45731"/>
    <w:rPr>
      <w:rFonts w:ascii="Times New Roman" w:hAnsi="Times New Roman"/>
      <w:b/>
      <w:sz w:val="26"/>
      <w:szCs w:val="26"/>
      <w:lang w:val="en-CA"/>
    </w:rPr>
  </w:style>
  <w:style w:type="character" w:styleId="IntenseEmphasis">
    <w:name w:val="Intense Emphasis"/>
    <w:basedOn w:val="DefaultParagraphFont"/>
    <w:qFormat/>
    <w:rsid w:val="00C45731"/>
    <w:rPr>
      <w:b/>
      <w:i/>
      <w:iCs/>
      <w:color w:val="auto"/>
    </w:rPr>
  </w:style>
  <w:style w:type="paragraph" w:customStyle="1" w:styleId="Heading2-Centered">
    <w:name w:val="Heading 2 - Centered"/>
    <w:basedOn w:val="Heading2"/>
    <w:next w:val="BodyText"/>
    <w:uiPriority w:val="4"/>
    <w:qFormat/>
    <w:rsid w:val="0016341F"/>
    <w:pPr>
      <w:numPr>
        <w:numId w:val="0"/>
      </w:numPr>
      <w:spacing w:before="0" w:after="360"/>
      <w:jc w:val="center"/>
    </w:pPr>
    <w:rPr>
      <w:sz w:val="26"/>
    </w:rPr>
  </w:style>
  <w:style w:type="paragraph" w:customStyle="1" w:styleId="segment-text">
    <w:name w:val="segment-text"/>
    <w:basedOn w:val="Normal"/>
    <w:rsid w:val="00A45E6E"/>
    <w:pPr>
      <w:spacing w:after="0"/>
    </w:pPr>
    <w:rPr>
      <w:rFonts w:ascii="Arial" w:eastAsia="Times New Roman" w:hAnsi="Arial" w:cs="Arial"/>
      <w:sz w:val="18"/>
      <w:szCs w:val="18"/>
      <w:lang w:eastAsia="en-CA"/>
    </w:rPr>
  </w:style>
  <w:style w:type="character" w:customStyle="1" w:styleId="Heading6Char">
    <w:name w:val="Heading 6 Char"/>
    <w:aliases w:val="RD Heading 6 Char"/>
    <w:basedOn w:val="DefaultParagraphFont"/>
    <w:link w:val="Heading6"/>
    <w:rsid w:val="00A45E6E"/>
    <w:rPr>
      <w:rFonts w:ascii="Times New Roman Bold" w:eastAsia="Times New Roman" w:hAnsi="Times New Roman Bold" w:cs="Times New Roman"/>
      <w:iCs/>
      <w:color w:val="000000"/>
      <w:lang w:val="en-US"/>
    </w:rPr>
  </w:style>
  <w:style w:type="character" w:customStyle="1" w:styleId="Heading7Char">
    <w:name w:val="Heading 7 Char"/>
    <w:aliases w:val="RD Heading 7 Char"/>
    <w:basedOn w:val="DefaultParagraphFont"/>
    <w:link w:val="Heading7"/>
    <w:rsid w:val="00A45E6E"/>
    <w:rPr>
      <w:rFonts w:ascii="Times New Roman Bold" w:eastAsia="Times New Roman" w:hAnsi="Times New Roman Bold" w:cs="Times New Roman"/>
      <w:iCs/>
      <w:color w:val="000000"/>
      <w:lang w:val="en-US"/>
    </w:rPr>
  </w:style>
  <w:style w:type="character" w:customStyle="1" w:styleId="Heading8Char">
    <w:name w:val="Heading 8 Char"/>
    <w:aliases w:val="RD Heading 8 Char"/>
    <w:basedOn w:val="DefaultParagraphFont"/>
    <w:link w:val="Heading8"/>
    <w:rsid w:val="00A45E6E"/>
    <w:rPr>
      <w:rFonts w:ascii="Times New Roman Bold" w:eastAsia="Times New Roman" w:hAnsi="Times New Roman Bold" w:cs="Times New Roman"/>
      <w:b/>
      <w:color w:val="000000"/>
      <w:lang w:val="en-US"/>
    </w:rPr>
  </w:style>
  <w:style w:type="character" w:customStyle="1" w:styleId="Heading9Char">
    <w:name w:val="Heading 9 Char"/>
    <w:aliases w:val="RD Heading 9 Char"/>
    <w:basedOn w:val="DefaultParagraphFont"/>
    <w:link w:val="Heading9"/>
    <w:rsid w:val="00A45E6E"/>
    <w:rPr>
      <w:rFonts w:ascii="Times New Roman Bold" w:eastAsia="Times New Roman" w:hAnsi="Times New Roman Bold" w:cs="Arial"/>
      <w:b/>
      <w:color w:val="000000"/>
      <w:lang w:val="en-US"/>
    </w:rPr>
  </w:style>
  <w:style w:type="numbering" w:customStyle="1" w:styleId="RDNumberedList">
    <w:name w:val="RD Numbered List"/>
    <w:basedOn w:val="NoList"/>
    <w:rsid w:val="00A45E6E"/>
    <w:pPr>
      <w:numPr>
        <w:numId w:val="5"/>
      </w:numPr>
    </w:pPr>
  </w:style>
  <w:style w:type="paragraph" w:customStyle="1" w:styleId="BulletListTopItem">
    <w:name w:val="Bullet List Top Item"/>
    <w:basedOn w:val="Normal"/>
    <w:rsid w:val="00400F90"/>
    <w:pPr>
      <w:numPr>
        <w:numId w:val="8"/>
      </w:numPr>
      <w:tabs>
        <w:tab w:val="clear" w:pos="720"/>
        <w:tab w:val="left" w:pos="360"/>
        <w:tab w:val="left" w:pos="1080"/>
        <w:tab w:val="left" w:pos="1440"/>
        <w:tab w:val="left" w:pos="1800"/>
        <w:tab w:val="left" w:pos="2160"/>
        <w:tab w:val="left" w:pos="2520"/>
        <w:tab w:val="left" w:pos="2880"/>
        <w:tab w:val="left" w:pos="3240"/>
        <w:tab w:val="left" w:pos="3600"/>
      </w:tabs>
      <w:autoSpaceDE w:val="0"/>
      <w:autoSpaceDN w:val="0"/>
      <w:adjustRightInd w:val="0"/>
      <w:spacing w:after="0"/>
      <w:ind w:left="1080"/>
    </w:pPr>
    <w:rPr>
      <w:rFonts w:eastAsia="Times New Roman" w:cs="Times New Roman"/>
      <w:color w:val="000000"/>
      <w:lang w:val="en"/>
    </w:rPr>
  </w:style>
  <w:style w:type="paragraph" w:customStyle="1" w:styleId="BulletListSub-itemBottom">
    <w:name w:val="Bullet List Sub-item Bottom"/>
    <w:basedOn w:val="Normal"/>
    <w:rsid w:val="00A45E6E"/>
    <w:pPr>
      <w:numPr>
        <w:numId w:val="6"/>
      </w:numPr>
      <w:tabs>
        <w:tab w:val="clear" w:pos="2160"/>
        <w:tab w:val="left" w:pos="1440"/>
      </w:tabs>
      <w:spacing w:after="240"/>
      <w:ind w:left="1440"/>
    </w:pPr>
    <w:rPr>
      <w:rFonts w:eastAsia="Times New Roman" w:cs="Times New Roman"/>
      <w:color w:val="000000"/>
      <w:lang w:val="en"/>
    </w:rPr>
  </w:style>
  <w:style w:type="paragraph" w:customStyle="1" w:styleId="BulletListSub-itemTop">
    <w:name w:val="Bullet List Sub-item Top"/>
    <w:basedOn w:val="BulletListTopItem"/>
    <w:rsid w:val="00A45E6E"/>
    <w:pPr>
      <w:numPr>
        <w:numId w:val="7"/>
      </w:numPr>
      <w:tabs>
        <w:tab w:val="clear" w:pos="1080"/>
      </w:tabs>
      <w:ind w:left="1440"/>
    </w:pPr>
  </w:style>
  <w:style w:type="paragraph" w:styleId="BalloonText">
    <w:name w:val="Balloon Text"/>
    <w:basedOn w:val="Normal"/>
    <w:link w:val="BalloonTextChar"/>
    <w:uiPriority w:val="99"/>
    <w:semiHidden/>
    <w:unhideWhenUsed/>
    <w:rsid w:val="00A45E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6E"/>
    <w:rPr>
      <w:rFonts w:ascii="Tahoma" w:hAnsi="Tahoma" w:cs="Tahoma"/>
      <w:sz w:val="16"/>
      <w:szCs w:val="16"/>
      <w:lang w:val="en-CA"/>
    </w:rPr>
  </w:style>
  <w:style w:type="paragraph" w:customStyle="1" w:styleId="REGDOCNumberCoverPage">
    <w:name w:val="REGDOC Number (Cover Page)"/>
    <w:basedOn w:val="Normal"/>
    <w:link w:val="REGDOCNumberCoverPageChar"/>
    <w:qFormat/>
    <w:rsid w:val="00113A85"/>
    <w:pPr>
      <w:spacing w:before="360" w:after="0"/>
    </w:pPr>
    <w:rPr>
      <w:rFonts w:ascii="Arial" w:eastAsia="Times New Roman" w:hAnsi="Arial" w:cs="Times New Roman"/>
      <w:sz w:val="28"/>
      <w:szCs w:val="28"/>
      <w:lang w:val="en-US"/>
    </w:rPr>
  </w:style>
  <w:style w:type="paragraph" w:customStyle="1" w:styleId="TableText">
    <w:name w:val="Table Text"/>
    <w:basedOn w:val="Normal"/>
    <w:link w:val="TableTextChar"/>
    <w:uiPriority w:val="14"/>
    <w:qFormat/>
    <w:rsid w:val="00A52E2A"/>
    <w:pPr>
      <w:tabs>
        <w:tab w:val="left" w:pos="180"/>
        <w:tab w:val="left" w:pos="360"/>
        <w:tab w:val="left" w:pos="540"/>
        <w:tab w:val="left" w:pos="720"/>
      </w:tabs>
      <w:autoSpaceDE w:val="0"/>
      <w:autoSpaceDN w:val="0"/>
      <w:adjustRightInd w:val="0"/>
      <w:spacing w:before="120" w:after="120"/>
    </w:pPr>
    <w:rPr>
      <w:rFonts w:eastAsia="Times New Roman" w:cs="Times New Roman"/>
      <w:color w:val="000000"/>
      <w:szCs w:val="20"/>
      <w:lang w:val="en-US"/>
    </w:rPr>
  </w:style>
  <w:style w:type="character" w:customStyle="1" w:styleId="TableTextChar">
    <w:name w:val="Table Text Char"/>
    <w:basedOn w:val="DefaultParagraphFont"/>
    <w:link w:val="TableText"/>
    <w:uiPriority w:val="14"/>
    <w:rsid w:val="00A52E2A"/>
    <w:rPr>
      <w:rFonts w:ascii="Times New Roman" w:eastAsia="Times New Roman" w:hAnsi="Times New Roman" w:cs="Times New Roman"/>
      <w:color w:val="000000"/>
      <w:szCs w:val="20"/>
      <w:lang w:val="en-US"/>
    </w:rPr>
  </w:style>
  <w:style w:type="paragraph" w:customStyle="1" w:styleId="HeadingRequirementsorGuidanceLabel">
    <w:name w:val="Heading Requirements or Guidance Label"/>
    <w:basedOn w:val="Normal"/>
    <w:next w:val="Normal"/>
    <w:rsid w:val="00113A85"/>
    <w:pPr>
      <w:keepNext/>
      <w:autoSpaceDE w:val="0"/>
      <w:autoSpaceDN w:val="0"/>
      <w:adjustRightInd w:val="0"/>
      <w:spacing w:before="240" w:after="120"/>
      <w:ind w:left="720"/>
      <w:outlineLvl w:val="2"/>
    </w:pPr>
    <w:rPr>
      <w:rFonts w:ascii="Times New Roman Bold" w:eastAsia="Times New Roman" w:hAnsi="Times New Roman Bold" w:cs="Times New Roman"/>
      <w:b/>
      <w:bCs/>
      <w:color w:val="000000"/>
      <w:lang w:val="en-US"/>
    </w:rPr>
  </w:style>
  <w:style w:type="character" w:customStyle="1" w:styleId="REGDOCNumberCoverPageChar">
    <w:name w:val="REGDOC Number (Cover Page) Char"/>
    <w:basedOn w:val="DefaultParagraphFont"/>
    <w:link w:val="REGDOCNumberCoverPage"/>
    <w:rsid w:val="00113A85"/>
    <w:rPr>
      <w:rFonts w:ascii="Arial" w:eastAsia="Times New Roman" w:hAnsi="Arial" w:cs="Times New Roman"/>
      <w:sz w:val="28"/>
      <w:szCs w:val="28"/>
      <w:lang w:val="en-US"/>
    </w:rPr>
  </w:style>
  <w:style w:type="paragraph" w:customStyle="1" w:styleId="MainPageHeadingsNOTOC">
    <w:name w:val="Main Page Headings NO TOC"/>
    <w:basedOn w:val="Normal"/>
    <w:next w:val="BodyText"/>
    <w:uiPriority w:val="4"/>
    <w:qFormat/>
    <w:rsid w:val="00113A85"/>
    <w:pPr>
      <w:keepNext/>
      <w:spacing w:after="240"/>
      <w:jc w:val="center"/>
    </w:pPr>
    <w:rPr>
      <w:rFonts w:ascii="Times New Roman Bold" w:hAnsi="Times New Roman Bold"/>
      <w:b/>
      <w:sz w:val="26"/>
      <w:lang w:val="fr-CA"/>
    </w:rPr>
  </w:style>
  <w:style w:type="character" w:customStyle="1" w:styleId="LicensingNoteTextChar">
    <w:name w:val="Licensing Note Text Char"/>
    <w:basedOn w:val="DefaultParagraphFont"/>
    <w:link w:val="LicensingNoteText"/>
    <w:rsid w:val="00A52E2A"/>
    <w:rPr>
      <w:rFonts w:ascii="Times New Roman" w:eastAsia="Times New Roman" w:hAnsi="Times New Roman" w:cs="Times New Roman"/>
      <w:color w:val="000000"/>
      <w:szCs w:val="20"/>
      <w:shd w:val="clear" w:color="auto" w:fill="D9D9D9"/>
      <w:lang w:val="en-US"/>
    </w:rPr>
  </w:style>
  <w:style w:type="paragraph" w:customStyle="1" w:styleId="BodyTextNoIndent">
    <w:name w:val="Body Text No Indent"/>
    <w:basedOn w:val="Normal"/>
    <w:link w:val="BodyTextNoIndentChar"/>
    <w:uiPriority w:val="4"/>
    <w:qFormat/>
    <w:rsid w:val="00A52E2A"/>
    <w:pPr>
      <w:spacing w:after="240"/>
    </w:pPr>
    <w:rPr>
      <w:lang w:val="en-US"/>
    </w:rPr>
  </w:style>
  <w:style w:type="character" w:customStyle="1" w:styleId="BodyTextNoIndentChar">
    <w:name w:val="Body Text No Indent Char"/>
    <w:basedOn w:val="BodyTextChar"/>
    <w:link w:val="BodyTextNoIndent"/>
    <w:uiPriority w:val="4"/>
    <w:rsid w:val="00A52E2A"/>
    <w:rPr>
      <w:rFonts w:ascii="Times New Roman" w:hAnsi="Times New Roman"/>
      <w:lang w:val="en-US"/>
    </w:rPr>
  </w:style>
  <w:style w:type="paragraph" w:customStyle="1" w:styleId="BulletListLastItem">
    <w:name w:val="Bullet List Last Item"/>
    <w:basedOn w:val="BulletList"/>
    <w:uiPriority w:val="4"/>
    <w:qFormat/>
    <w:rsid w:val="00A52E2A"/>
    <w:pPr>
      <w:spacing w:after="240"/>
    </w:pPr>
  </w:style>
  <w:style w:type="paragraph" w:customStyle="1" w:styleId="LicensingNoteText">
    <w:name w:val="Licensing Note Text"/>
    <w:basedOn w:val="BodyTextNoIndent"/>
    <w:next w:val="BodyTextNoIndent"/>
    <w:link w:val="LicensingNoteTextChar"/>
    <w:rsid w:val="00A52E2A"/>
    <w:pPr>
      <w:pBdr>
        <w:top w:val="single" w:sz="4" w:space="6" w:color="auto"/>
        <w:left w:val="single" w:sz="4" w:space="6" w:color="auto"/>
        <w:bottom w:val="single" w:sz="4" w:space="6" w:color="auto"/>
        <w:right w:val="single" w:sz="4" w:space="6" w:color="auto"/>
      </w:pBdr>
      <w:shd w:val="clear" w:color="auto" w:fill="D9D9D9"/>
      <w:ind w:left="144" w:right="144"/>
    </w:pPr>
    <w:rPr>
      <w:rFonts w:eastAsia="Times New Roman" w:cs="Times New Roman"/>
      <w:color w:val="000000"/>
      <w:szCs w:val="20"/>
    </w:rPr>
  </w:style>
  <w:style w:type="paragraph" w:customStyle="1" w:styleId="BulletList">
    <w:name w:val="Bullet List"/>
    <w:basedOn w:val="Normal"/>
    <w:rsid w:val="00A52E2A"/>
    <w:pPr>
      <w:tabs>
        <w:tab w:val="num" w:pos="720"/>
        <w:tab w:val="left" w:pos="1080"/>
      </w:tabs>
      <w:spacing w:after="0"/>
      <w:ind w:left="1080" w:hanging="360"/>
    </w:pPr>
    <w:rPr>
      <w:rFonts w:eastAsia="Times New Roman" w:cs="Times New Roman"/>
      <w:color w:val="000000"/>
      <w:lang w:val="en"/>
    </w:rPr>
  </w:style>
  <w:style w:type="paragraph" w:customStyle="1" w:styleId="BulletListSub-item">
    <w:name w:val="Bullet List Sub-item"/>
    <w:basedOn w:val="BulletList"/>
    <w:rsid w:val="00A52E2A"/>
    <w:pPr>
      <w:tabs>
        <w:tab w:val="clear" w:pos="720"/>
        <w:tab w:val="clear" w:pos="1080"/>
        <w:tab w:val="left" w:pos="1440"/>
      </w:tabs>
      <w:ind w:left="1440"/>
    </w:pPr>
  </w:style>
  <w:style w:type="character" w:styleId="CommentReference">
    <w:name w:val="annotation reference"/>
    <w:basedOn w:val="DefaultParagraphFont"/>
    <w:uiPriority w:val="99"/>
    <w:semiHidden/>
    <w:unhideWhenUsed/>
    <w:rsid w:val="00A52E2A"/>
    <w:rPr>
      <w:sz w:val="16"/>
      <w:szCs w:val="16"/>
    </w:rPr>
  </w:style>
  <w:style w:type="paragraph" w:styleId="CommentText">
    <w:name w:val="annotation text"/>
    <w:basedOn w:val="Normal"/>
    <w:link w:val="CommentTextChar"/>
    <w:uiPriority w:val="99"/>
    <w:unhideWhenUsed/>
    <w:rsid w:val="00A52E2A"/>
    <w:rPr>
      <w:sz w:val="20"/>
      <w:szCs w:val="20"/>
    </w:rPr>
  </w:style>
  <w:style w:type="character" w:customStyle="1" w:styleId="CommentTextChar">
    <w:name w:val="Comment Text Char"/>
    <w:basedOn w:val="DefaultParagraphFont"/>
    <w:link w:val="CommentText"/>
    <w:uiPriority w:val="99"/>
    <w:rsid w:val="00A52E2A"/>
    <w:rPr>
      <w:rFonts w:ascii="Times New Roman" w:hAnsi="Times New Roman"/>
      <w:sz w:val="20"/>
      <w:szCs w:val="20"/>
      <w:lang w:val="en-CA"/>
    </w:rPr>
  </w:style>
  <w:style w:type="paragraph" w:customStyle="1" w:styleId="HeadingLevel5NoNumbering">
    <w:name w:val="Heading Level 5 No Numbering"/>
    <w:basedOn w:val="Normal"/>
    <w:next w:val="Normal"/>
    <w:rsid w:val="00113A85"/>
    <w:pPr>
      <w:keepNext/>
      <w:spacing w:after="240"/>
      <w:ind w:left="720"/>
    </w:pPr>
    <w:rPr>
      <w:rFonts w:ascii="Times New Roman Bold" w:eastAsia="Times New Roman" w:hAnsi="Times New Roman Bold" w:cs="Times New Roman"/>
      <w:b/>
      <w:szCs w:val="24"/>
      <w:u w:color="000080"/>
      <w:lang w:val="fr-CA"/>
    </w:rPr>
  </w:style>
  <w:style w:type="paragraph" w:customStyle="1" w:styleId="MainPageHeadingsTOC">
    <w:name w:val="Main Page Headings TOC"/>
    <w:basedOn w:val="MainPageHeadingsNOTOC"/>
    <w:next w:val="BodyText"/>
    <w:uiPriority w:val="4"/>
    <w:qFormat/>
    <w:rsid w:val="00A52E2A"/>
  </w:style>
  <w:style w:type="paragraph" w:customStyle="1" w:styleId="GlossaryDefinition">
    <w:name w:val="Glossary Definition"/>
    <w:basedOn w:val="GlossaryTerm"/>
    <w:link w:val="GlossaryDefinitionChar"/>
    <w:rsid w:val="00A52E2A"/>
    <w:pPr>
      <w:keepNext w:val="0"/>
      <w:spacing w:after="240"/>
    </w:pPr>
    <w:rPr>
      <w:b w:val="0"/>
    </w:rPr>
  </w:style>
  <w:style w:type="character" w:customStyle="1" w:styleId="GlossaryDefinitionChar">
    <w:name w:val="Glossary Definition Char"/>
    <w:basedOn w:val="DefaultParagraphFont"/>
    <w:link w:val="GlossaryDefinition"/>
    <w:rsid w:val="00A52E2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EF6E54"/>
    <w:rPr>
      <w:b/>
      <w:bCs/>
    </w:rPr>
  </w:style>
  <w:style w:type="character" w:customStyle="1" w:styleId="CommentSubjectChar">
    <w:name w:val="Comment Subject Char"/>
    <w:basedOn w:val="CommentTextChar"/>
    <w:link w:val="CommentSubject"/>
    <w:uiPriority w:val="99"/>
    <w:semiHidden/>
    <w:rsid w:val="00EF6E54"/>
    <w:rPr>
      <w:rFonts w:ascii="Times New Roman" w:hAnsi="Times New Roman"/>
      <w:b/>
      <w:bCs/>
      <w:sz w:val="20"/>
      <w:szCs w:val="20"/>
      <w:lang w:val="en-CA"/>
    </w:rPr>
  </w:style>
  <w:style w:type="character" w:styleId="FollowedHyperlink">
    <w:name w:val="FollowedHyperlink"/>
    <w:basedOn w:val="DefaultParagraphFont"/>
    <w:uiPriority w:val="99"/>
    <w:semiHidden/>
    <w:unhideWhenUsed/>
    <w:rsid w:val="00591C0A"/>
    <w:rPr>
      <w:color w:val="800080" w:themeColor="followedHyperlink"/>
      <w:u w:val="single"/>
    </w:rPr>
  </w:style>
  <w:style w:type="paragraph" w:styleId="Revision">
    <w:name w:val="Revision"/>
    <w:hidden/>
    <w:uiPriority w:val="99"/>
    <w:semiHidden/>
    <w:rsid w:val="00BE04D0"/>
    <w:pPr>
      <w:spacing w:after="0" w:line="240" w:lineRule="auto"/>
    </w:pPr>
    <w:rPr>
      <w:rFonts w:ascii="Times New Roman" w:hAnsi="Times New Roman"/>
      <w:lang w:val="en-CA"/>
    </w:rPr>
  </w:style>
  <w:style w:type="paragraph" w:customStyle="1" w:styleId="RDPrefaceAppendixTextWithSpace">
    <w:name w:val="RD Preface &amp; Appendix Text With Space"/>
    <w:basedOn w:val="Normal"/>
    <w:rsid w:val="00742E9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240"/>
    </w:pPr>
    <w:rPr>
      <w:rFonts w:eastAsia="Times New Roman" w:cs="Times New Roman"/>
      <w:color w:val="000000"/>
      <w:lang w:val="en-US"/>
    </w:rPr>
  </w:style>
  <w:style w:type="paragraph" w:styleId="BodyTextIndent">
    <w:name w:val="Body Text Indent"/>
    <w:basedOn w:val="Normal"/>
    <w:link w:val="BodyTextIndentChar"/>
    <w:uiPriority w:val="99"/>
    <w:unhideWhenUsed/>
    <w:rsid w:val="00382046"/>
    <w:pPr>
      <w:spacing w:after="120"/>
      <w:ind w:left="283"/>
    </w:pPr>
  </w:style>
  <w:style w:type="character" w:customStyle="1" w:styleId="BodyTextIndentChar">
    <w:name w:val="Body Text Indent Char"/>
    <w:basedOn w:val="DefaultParagraphFont"/>
    <w:link w:val="BodyTextIndent"/>
    <w:uiPriority w:val="99"/>
    <w:rsid w:val="00382046"/>
    <w:rPr>
      <w:rFonts w:ascii="Times New Roman" w:hAnsi="Times New Roman"/>
      <w:lang w:val="en-CA"/>
    </w:rPr>
  </w:style>
  <w:style w:type="paragraph" w:styleId="BlockText">
    <w:name w:val="Block Text"/>
    <w:basedOn w:val="Normal"/>
    <w:uiPriority w:val="99"/>
    <w:unhideWhenUsed/>
    <w:rsid w:val="003820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AppendixHeading">
    <w:name w:val="Appendix_Heading"/>
    <w:basedOn w:val="Heading2"/>
    <w:next w:val="BodyText"/>
    <w:link w:val="AppendixHeadingChar"/>
    <w:uiPriority w:val="24"/>
    <w:qFormat/>
    <w:rsid w:val="003F6D61"/>
    <w:pPr>
      <w:numPr>
        <w:numId w:val="0"/>
      </w:numPr>
      <w:spacing w:after="360"/>
      <w:jc w:val="center"/>
    </w:pPr>
    <w:rPr>
      <w:sz w:val="26"/>
      <w:szCs w:val="26"/>
    </w:rPr>
  </w:style>
  <w:style w:type="paragraph" w:customStyle="1" w:styleId="AppendixHeading2">
    <w:name w:val="Appendix_Heading_2"/>
    <w:basedOn w:val="Heading3"/>
    <w:next w:val="BodyText"/>
    <w:link w:val="AppendixHeading2Char"/>
    <w:uiPriority w:val="24"/>
    <w:qFormat/>
    <w:rsid w:val="003F6D61"/>
    <w:pPr>
      <w:numPr>
        <w:ilvl w:val="0"/>
        <w:numId w:val="0"/>
      </w:numPr>
      <w:ind w:left="720" w:hanging="720"/>
    </w:pPr>
    <w:rPr>
      <w:sz w:val="24"/>
      <w:lang w:val="en-US"/>
    </w:rPr>
  </w:style>
  <w:style w:type="character" w:customStyle="1" w:styleId="AppendixHeadingChar">
    <w:name w:val="Appendix_Heading Char"/>
    <w:basedOn w:val="Heading2Char"/>
    <w:link w:val="AppendixHeading"/>
    <w:uiPriority w:val="24"/>
    <w:rsid w:val="003F6D61"/>
    <w:rPr>
      <w:rFonts w:ascii="Times New Roman" w:hAnsi="Times New Roman"/>
      <w:b/>
      <w:sz w:val="26"/>
      <w:szCs w:val="26"/>
      <w:lang w:val="en-CA"/>
    </w:rPr>
  </w:style>
  <w:style w:type="paragraph" w:customStyle="1" w:styleId="AppendixHeading3">
    <w:name w:val="Appendix_Heading_3"/>
    <w:basedOn w:val="Heading4"/>
    <w:next w:val="BodyTextNoIndent"/>
    <w:link w:val="AppendixHeading3Char"/>
    <w:uiPriority w:val="24"/>
    <w:qFormat/>
    <w:rsid w:val="003F6D61"/>
    <w:pPr>
      <w:numPr>
        <w:ilvl w:val="0"/>
        <w:numId w:val="0"/>
      </w:numPr>
      <w:ind w:left="1080" w:hanging="1080"/>
    </w:pPr>
    <w:rPr>
      <w:lang w:val="en-US"/>
    </w:rPr>
  </w:style>
  <w:style w:type="character" w:customStyle="1" w:styleId="AppendixHeading2Char">
    <w:name w:val="Appendix_Heading_2 Char"/>
    <w:basedOn w:val="Heading3Char"/>
    <w:link w:val="AppendixHeading2"/>
    <w:uiPriority w:val="24"/>
    <w:rsid w:val="003F6D61"/>
    <w:rPr>
      <w:rFonts w:ascii="Times New Roman" w:hAnsi="Times New Roman"/>
      <w:b/>
      <w:sz w:val="24"/>
      <w:lang w:val="en-US"/>
    </w:rPr>
  </w:style>
  <w:style w:type="paragraph" w:customStyle="1" w:styleId="AppendixHeading4">
    <w:name w:val="Appendix_Heading_4"/>
    <w:basedOn w:val="Heading5"/>
    <w:next w:val="BodyTextNoIndent"/>
    <w:link w:val="AppendixHeading4Char"/>
    <w:uiPriority w:val="24"/>
    <w:qFormat/>
    <w:rsid w:val="003F6D61"/>
    <w:pPr>
      <w:numPr>
        <w:ilvl w:val="0"/>
        <w:numId w:val="0"/>
      </w:numPr>
      <w:ind w:left="1080" w:hanging="1080"/>
    </w:pPr>
    <w:rPr>
      <w:lang w:val="en-US"/>
    </w:rPr>
  </w:style>
  <w:style w:type="character" w:customStyle="1" w:styleId="AppendixHeading3Char">
    <w:name w:val="Appendix_Heading_3 Char"/>
    <w:basedOn w:val="Heading4Char"/>
    <w:link w:val="AppendixHeading3"/>
    <w:uiPriority w:val="24"/>
    <w:rsid w:val="003F6D61"/>
    <w:rPr>
      <w:rFonts w:ascii="Times New Roman" w:hAnsi="Times New Roman"/>
      <w:b/>
      <w:lang w:val="en-US"/>
    </w:rPr>
  </w:style>
  <w:style w:type="character" w:customStyle="1" w:styleId="AppendixHeading4Char">
    <w:name w:val="Appendix_Heading_4 Char"/>
    <w:basedOn w:val="Heading5Char"/>
    <w:link w:val="AppendixHeading4"/>
    <w:uiPriority w:val="24"/>
    <w:rsid w:val="003F6D61"/>
    <w:rPr>
      <w:rFonts w:ascii="Times New Roman" w:hAnsi="Times New Roman"/>
      <w:b/>
      <w:lang w:val="en-US"/>
    </w:rPr>
  </w:style>
  <w:style w:type="character" w:styleId="EndnoteReference">
    <w:name w:val="endnote reference"/>
    <w:basedOn w:val="DefaultParagraphFont"/>
    <w:uiPriority w:val="99"/>
    <w:unhideWhenUsed/>
    <w:rsid w:val="003F6D61"/>
    <w:rPr>
      <w:vertAlign w:val="superscript"/>
    </w:rPr>
  </w:style>
  <w:style w:type="character" w:styleId="PlaceholderText">
    <w:name w:val="Placeholder Text"/>
    <w:basedOn w:val="DefaultParagraphFont"/>
    <w:uiPriority w:val="99"/>
    <w:semiHidden/>
    <w:rsid w:val="003F6D61"/>
    <w:rPr>
      <w:color w:val="808080"/>
    </w:rPr>
  </w:style>
  <w:style w:type="character" w:styleId="UnresolvedMention">
    <w:name w:val="Unresolved Mention"/>
    <w:basedOn w:val="DefaultParagraphFont"/>
    <w:uiPriority w:val="99"/>
    <w:semiHidden/>
    <w:unhideWhenUsed/>
    <w:rsid w:val="003F6D61"/>
    <w:rPr>
      <w:color w:val="605E5C"/>
      <w:shd w:val="clear" w:color="auto" w:fill="E1DFDD"/>
    </w:rPr>
  </w:style>
  <w:style w:type="character" w:customStyle="1" w:styleId="fontstyle01">
    <w:name w:val="fontstyle01"/>
    <w:basedOn w:val="DefaultParagraphFont"/>
    <w:rsid w:val="003F6D61"/>
    <w:rPr>
      <w:rFonts w:ascii="CIDFont+F2" w:hAnsi="CIDFont+F2" w:hint="default"/>
      <w:b/>
      <w:bCs/>
      <w:i w:val="0"/>
      <w:iCs w:val="0"/>
      <w:color w:val="000000"/>
      <w:sz w:val="22"/>
      <w:szCs w:val="22"/>
    </w:rPr>
  </w:style>
  <w:style w:type="character" w:customStyle="1" w:styleId="fontstyle21">
    <w:name w:val="fontstyle21"/>
    <w:basedOn w:val="DefaultParagraphFont"/>
    <w:rsid w:val="003F6D61"/>
    <w:rPr>
      <w:rFonts w:ascii="CIDFont+F5" w:hAnsi="CIDFont+F5" w:hint="default"/>
      <w:b w:val="0"/>
      <w:bCs w:val="0"/>
      <w:i/>
      <w:iCs/>
      <w:color w:val="000000"/>
      <w:sz w:val="22"/>
      <w:szCs w:val="22"/>
    </w:rPr>
  </w:style>
  <w:style w:type="character" w:customStyle="1" w:styleId="fontstyle31">
    <w:name w:val="fontstyle31"/>
    <w:basedOn w:val="DefaultParagraphFont"/>
    <w:rsid w:val="003F6D61"/>
    <w:rPr>
      <w:rFonts w:ascii="CIDFont+F1" w:hAnsi="CIDFont+F1" w:hint="default"/>
      <w:b w:val="0"/>
      <w:bCs w:val="0"/>
      <w:i w:val="0"/>
      <w:iCs w:val="0"/>
      <w:color w:val="000000"/>
      <w:sz w:val="22"/>
      <w:szCs w:val="22"/>
    </w:rPr>
  </w:style>
  <w:style w:type="paragraph" w:styleId="TOC5">
    <w:name w:val="toc 5"/>
    <w:basedOn w:val="Normal"/>
    <w:next w:val="Normal"/>
    <w:autoRedefine/>
    <w:uiPriority w:val="39"/>
    <w:unhideWhenUsed/>
    <w:rsid w:val="00E96362"/>
    <w:pPr>
      <w:spacing w:after="100" w:line="259" w:lineRule="auto"/>
      <w:ind w:left="880"/>
    </w:pPr>
    <w:rPr>
      <w:rFonts w:asciiTheme="minorHAnsi" w:eastAsiaTheme="minorEastAsia" w:hAnsiTheme="minorHAnsi"/>
      <w:lang w:val="fr-CA" w:eastAsia="fr-CA"/>
    </w:rPr>
  </w:style>
  <w:style w:type="paragraph" w:styleId="TOC6">
    <w:name w:val="toc 6"/>
    <w:basedOn w:val="Normal"/>
    <w:next w:val="Normal"/>
    <w:autoRedefine/>
    <w:uiPriority w:val="39"/>
    <w:unhideWhenUsed/>
    <w:rsid w:val="00E96362"/>
    <w:pPr>
      <w:spacing w:after="100" w:line="259" w:lineRule="auto"/>
      <w:ind w:left="1100"/>
    </w:pPr>
    <w:rPr>
      <w:rFonts w:asciiTheme="minorHAnsi" w:eastAsiaTheme="minorEastAsia" w:hAnsiTheme="minorHAnsi"/>
      <w:lang w:val="fr-CA" w:eastAsia="fr-CA"/>
    </w:rPr>
  </w:style>
  <w:style w:type="paragraph" w:styleId="TOC7">
    <w:name w:val="toc 7"/>
    <w:basedOn w:val="Normal"/>
    <w:next w:val="Normal"/>
    <w:autoRedefine/>
    <w:uiPriority w:val="39"/>
    <w:unhideWhenUsed/>
    <w:rsid w:val="00E96362"/>
    <w:pPr>
      <w:spacing w:after="100" w:line="259" w:lineRule="auto"/>
      <w:ind w:left="1320"/>
    </w:pPr>
    <w:rPr>
      <w:rFonts w:asciiTheme="minorHAnsi" w:eastAsiaTheme="minorEastAsia" w:hAnsiTheme="minorHAnsi"/>
      <w:lang w:val="fr-CA" w:eastAsia="fr-CA"/>
    </w:rPr>
  </w:style>
  <w:style w:type="paragraph" w:styleId="TOC8">
    <w:name w:val="toc 8"/>
    <w:basedOn w:val="Normal"/>
    <w:next w:val="Normal"/>
    <w:autoRedefine/>
    <w:uiPriority w:val="39"/>
    <w:unhideWhenUsed/>
    <w:rsid w:val="00E96362"/>
    <w:pPr>
      <w:spacing w:after="100" w:line="259" w:lineRule="auto"/>
      <w:ind w:left="1540"/>
    </w:pPr>
    <w:rPr>
      <w:rFonts w:asciiTheme="minorHAnsi" w:eastAsiaTheme="minorEastAsia" w:hAnsiTheme="minorHAnsi"/>
      <w:lang w:val="fr-CA" w:eastAsia="fr-CA"/>
    </w:rPr>
  </w:style>
  <w:style w:type="paragraph" w:styleId="TOC9">
    <w:name w:val="toc 9"/>
    <w:basedOn w:val="Normal"/>
    <w:next w:val="Normal"/>
    <w:autoRedefine/>
    <w:uiPriority w:val="39"/>
    <w:unhideWhenUsed/>
    <w:rsid w:val="00E96362"/>
    <w:pPr>
      <w:spacing w:after="100" w:line="259" w:lineRule="auto"/>
      <w:ind w:left="1760"/>
    </w:pPr>
    <w:rPr>
      <w:rFonts w:asciiTheme="minorHAnsi" w:eastAsiaTheme="minorEastAsia" w:hAnsiTheme="minorHAnsi"/>
      <w:lang w:val="fr-CA" w:eastAsia="fr-CA"/>
    </w:rPr>
  </w:style>
  <w:style w:type="paragraph" w:customStyle="1" w:styleId="RDGlossaryTerm">
    <w:name w:val="RD Glossary Term"/>
    <w:basedOn w:val="Normal"/>
    <w:link w:val="RDGlossaryTermChar"/>
    <w:rsid w:val="00F538B1"/>
    <w:pPr>
      <w:keepNext/>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before="240" w:after="0"/>
    </w:pPr>
    <w:rPr>
      <w:rFonts w:eastAsia="Times New Roman" w:cs="Times New Roman"/>
      <w:b/>
      <w:color w:val="000000"/>
      <w:szCs w:val="20"/>
      <w:lang w:val="en-US"/>
    </w:rPr>
  </w:style>
  <w:style w:type="paragraph" w:customStyle="1" w:styleId="RDGlossaryDefinition">
    <w:name w:val="RD Glossary Definition"/>
    <w:basedOn w:val="RDGlossaryTerm"/>
    <w:link w:val="RDGlossaryDefinitionChar"/>
    <w:rsid w:val="00F538B1"/>
    <w:pPr>
      <w:keepNext w:val="0"/>
      <w:spacing w:before="0" w:after="240"/>
    </w:pPr>
    <w:rPr>
      <w:b w:val="0"/>
    </w:rPr>
  </w:style>
  <w:style w:type="character" w:customStyle="1" w:styleId="RDGlossaryTermChar">
    <w:name w:val="RD Glossary Term Char"/>
    <w:link w:val="RDGlossaryTerm"/>
    <w:rsid w:val="00F538B1"/>
    <w:rPr>
      <w:rFonts w:ascii="Times New Roman" w:eastAsia="Times New Roman" w:hAnsi="Times New Roman" w:cs="Times New Roman"/>
      <w:b/>
      <w:color w:val="000000"/>
      <w:szCs w:val="20"/>
      <w:lang w:val="en-US"/>
    </w:rPr>
  </w:style>
  <w:style w:type="character" w:customStyle="1" w:styleId="RDGlossaryDefinitionChar">
    <w:name w:val="RD Glossary Definition Char"/>
    <w:basedOn w:val="RDGlossaryTermChar"/>
    <w:link w:val="RDGlossaryDefinition"/>
    <w:rsid w:val="00F538B1"/>
    <w:rPr>
      <w:rFonts w:ascii="Times New Roman" w:eastAsia="Times New Roman" w:hAnsi="Times New Roman" w:cs="Times New Roman"/>
      <w:b w:val="0"/>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nsc.info.ccsn@cnsc-ccsn.gc.ca" TargetMode="External"/><Relationship Id="rId26" Type="http://schemas.openxmlformats.org/officeDocument/2006/relationships/footer" Target="footer3.xml"/><Relationship Id="rId39" Type="http://schemas.openxmlformats.org/officeDocument/2006/relationships/hyperlink" Target="https://laws-lois.justice.gc.ca/fra/reglements/DORS-2000-204/" TargetMode="External"/><Relationship Id="rId21" Type="http://schemas.openxmlformats.org/officeDocument/2006/relationships/hyperlink" Target="http://www.youtube.com/ccsncnsc" TargetMode="External"/><Relationship Id="rId34" Type="http://schemas.openxmlformats.org/officeDocument/2006/relationships/header" Target="header11.xml"/><Relationship Id="rId42" Type="http://schemas.openxmlformats.org/officeDocument/2006/relationships/footer" Target="footer6.xml"/><Relationship Id="rId47" Type="http://schemas.openxmlformats.org/officeDocument/2006/relationships/hyperlink" Target="http://www.cnsc-ccsn.gc.ca/fra/acts-and-regulations/regulatory-documents/index.cfm" TargetMode="External"/><Relationship Id="rId50" Type="http://schemas.openxmlformats.org/officeDocument/2006/relationships/hyperlink" Target="http://www.cnsc-ccsn.gc.ca/fra/acts-and-regulations/regulatory-documents/index.cfm" TargetMode="External"/><Relationship Id="rId55" Type="http://schemas.openxmlformats.org/officeDocument/2006/relationships/hyperlink" Target="http://www.cnsc-ccsn.gc.ca/fra/acts-and-regulations/regulatory-documents/index.cfm" TargetMode="External"/><Relationship Id="rId63" Type="http://schemas.openxmlformats.org/officeDocument/2006/relationships/hyperlink" Target="http://www.cnsc-ccsn.gc.ca/fra/acts-and-regulations/regulatory-documents/index.cfm" TargetMode="External"/><Relationship Id="rId68" Type="http://schemas.openxmlformats.org/officeDocument/2006/relationships/hyperlink" Target="http://www.cnsc-ccsn.gc.ca/fra/acts-and-regulations/regulatory-documents/index.cfm" TargetMode="External"/><Relationship Id="rId76" Type="http://schemas.openxmlformats.org/officeDocument/2006/relationships/hyperlink" Target="https://www.iaea.org/fr/publications/7315/lorganisme-exploitant-des-centrales-nucleaires"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aea.org/publications/14901/operational-limits-and-conditions-and-operating-procedures-for-nuclear-power-plants"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yperlink" Target="https://laws-lois.justice.gc.ca/fra/lois/N-28.3/" TargetMode="External"/><Relationship Id="rId40" Type="http://schemas.openxmlformats.org/officeDocument/2006/relationships/header" Target="header13.xml"/><Relationship Id="rId45" Type="http://schemas.openxmlformats.org/officeDocument/2006/relationships/hyperlink" Target="http://laws-lois.justice.gc.ca/fra/lois/N-28.3/" TargetMode="External"/><Relationship Id="rId53" Type="http://schemas.openxmlformats.org/officeDocument/2006/relationships/hyperlink" Target="http://www.cnsc-ccsn.gc.ca/fra/acts-and-regulations/regulatory-documents/index.cfm" TargetMode="External"/><Relationship Id="rId58" Type="http://schemas.openxmlformats.org/officeDocument/2006/relationships/hyperlink" Target="https://www.iaea.org/publications/14905/maintenance-testing-surveillance-and-inspection-in-nuclear-power-plants" TargetMode="External"/><Relationship Id="rId66" Type="http://schemas.openxmlformats.org/officeDocument/2006/relationships/hyperlink" Target="http://www.cnsc-ccsn.gc.ca/fra/acts-and-regulations/regulatory-documents/index.cfm" TargetMode="External"/><Relationship Id="rId74" Type="http://schemas.openxmlformats.org/officeDocument/2006/relationships/hyperlink" Target="http://www.nuclearsafety.gc.ca/fra/acts-and-regulations/regulatory-documents/csa-standards.cfm" TargetMode="External"/><Relationship Id="rId79" Type="http://schemas.openxmlformats.org/officeDocument/2006/relationships/hyperlink" Target="http://www.suretenucleaire.gc.ca/fra/acts-and-regulations/regulatory-documents/index.cfm" TargetMode="External"/><Relationship Id="rId5" Type="http://schemas.openxmlformats.org/officeDocument/2006/relationships/webSettings" Target="webSettings.xml"/><Relationship Id="rId61" Type="http://schemas.openxmlformats.org/officeDocument/2006/relationships/hyperlink" Target="http://www.cnsc-ccsn.gc.ca/fra/acts-and-regulations/regulatory-documents/index.cfm" TargetMode="External"/><Relationship Id="rId82" Type="http://schemas.openxmlformats.org/officeDocument/2006/relationships/footer" Target="footer7.xml"/><Relationship Id="rId19" Type="http://schemas.openxmlformats.org/officeDocument/2006/relationships/hyperlink" Target="http://www.suretenucleaire.g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twitter.com/CCSN_CNSC"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header" Target="header15.xml"/><Relationship Id="rId48" Type="http://schemas.openxmlformats.org/officeDocument/2006/relationships/hyperlink" Target="http://www.cnsc-ccsn.gc.ca/fra/acts-and-regulations/regulatory-documents/index.cfm" TargetMode="External"/><Relationship Id="rId56" Type="http://schemas.openxmlformats.org/officeDocument/2006/relationships/hyperlink" Target="https://www.iaea.org/publications/8577/a-framework-for-an-integrated-risk-informed-decision-making-process" TargetMode="External"/><Relationship Id="rId64" Type="http://schemas.openxmlformats.org/officeDocument/2006/relationships/hyperlink" Target="http://www.cnsc-ccsn.gc.ca/fra/acts-and-regulations/regulatory-documents/index.cfm" TargetMode="External"/><Relationship Id="rId69" Type="http://schemas.openxmlformats.org/officeDocument/2006/relationships/hyperlink" Target="http://www.cnsc-ccsn.gc.ca/fra/acts-and-regulations/regulatory-documents/index.cfm" TargetMode="External"/><Relationship Id="rId77" Type="http://schemas.openxmlformats.org/officeDocument/2006/relationships/hyperlink" Target="http://www.cnsc-ccsn.gc.ca/fra/acts-and-regulations/regulatory-documents/index.cfm" TargetMode="External"/><Relationship Id="rId8" Type="http://schemas.openxmlformats.org/officeDocument/2006/relationships/image" Target="media/image1.png"/><Relationship Id="rId51" Type="http://schemas.openxmlformats.org/officeDocument/2006/relationships/hyperlink" Target="http://www.cnsc-ccsn.gc.ca/fra/acts-and-regulations/regulatory-documents/index.cfm" TargetMode="External"/><Relationship Id="rId72" Type="http://schemas.openxmlformats.org/officeDocument/2006/relationships/hyperlink" Target="http://www.cnsc-ccsn.gc.ca/fra/acts-and-regulations/regulatory-documents/index.cfm" TargetMode="External"/><Relationship Id="rId80" Type="http://schemas.openxmlformats.org/officeDocument/2006/relationships/header" Target="header1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uretenucleaire.gc.ca/" TargetMode="Externa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yperlink" Target="https://laws-lois.justice.gc.ca/fra/reglements/DORS-2000-202/" TargetMode="External"/><Relationship Id="rId46" Type="http://schemas.openxmlformats.org/officeDocument/2006/relationships/hyperlink" Target="http://www.nuclearsafety.gc.ca/fra/acts-and-regulations/regulatory-documents/csa-standards.cfm" TargetMode="External"/><Relationship Id="rId59" Type="http://schemas.openxmlformats.org/officeDocument/2006/relationships/hyperlink" Target="http://www.cnsc-ccsn.gc.ca/fra/acts-and-regulations/regulatory-documents/index.cfm" TargetMode="External"/><Relationship Id="rId67" Type="http://schemas.openxmlformats.org/officeDocument/2006/relationships/hyperlink" Target="http://www.cnsc-ccsn.gc.ca/fra/acts-and-regulations/regulatory-documents/index.cfm" TargetMode="External"/><Relationship Id="rId20" Type="http://schemas.openxmlformats.org/officeDocument/2006/relationships/hyperlink" Target="http://www.facebook.com/Commissioncanadiennedesuretenucleaire" TargetMode="External"/><Relationship Id="rId41" Type="http://schemas.openxmlformats.org/officeDocument/2006/relationships/header" Target="header14.xml"/><Relationship Id="rId54" Type="http://schemas.openxmlformats.org/officeDocument/2006/relationships/hyperlink" Target="http://www.cnsc-ccsn.gc.ca/fra/acts-and-regulations/regulatory-documents/index.cfm" TargetMode="External"/><Relationship Id="rId62" Type="http://schemas.openxmlformats.org/officeDocument/2006/relationships/hyperlink" Target="http://www.cnsc-ccsn.gc.ca/fra/acts-and-regulations/regulatory-documents/index.cfm" TargetMode="External"/><Relationship Id="rId70" Type="http://schemas.openxmlformats.org/officeDocument/2006/relationships/hyperlink" Target="http://www.cnsc-ccsn.gc.ca/fra/acts-and-regulations/regulatory-documents/index.cfm" TargetMode="External"/><Relationship Id="rId75" Type="http://schemas.openxmlformats.org/officeDocument/2006/relationships/hyperlink" Target="https://www.iaea.org/fr/publications/7228/limites-et-conditions-dexploitation-et-procedures-de-conduite-des-centrales-nucleaires" TargetMode="External"/><Relationship Id="rId83"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linkedin.com/company/cnsc-ccsn/" TargetMode="External"/><Relationship Id="rId28" Type="http://schemas.openxmlformats.org/officeDocument/2006/relationships/hyperlink" Target="http://www.suretenucleaire.gc.ca/fra/acts-and-regulations/regulatory-documents/index.cfm" TargetMode="External"/><Relationship Id="rId36" Type="http://schemas.openxmlformats.org/officeDocument/2006/relationships/header" Target="header12.xml"/><Relationship Id="rId49" Type="http://schemas.openxmlformats.org/officeDocument/2006/relationships/hyperlink" Target="http://www.cnsc-ccsn.gc.ca/fra/acts-and-regulations/regulatory-documents/index.cfm" TargetMode="External"/><Relationship Id="rId57" Type="http://schemas.openxmlformats.org/officeDocument/2006/relationships/hyperlink" Target="https://www.iaea.org/publications/14902/modifications-to-nuclear-power-plants" TargetMode="External"/><Relationship Id="rId10" Type="http://schemas.openxmlformats.org/officeDocument/2006/relationships/image" Target="media/image3.png"/><Relationship Id="rId31" Type="http://schemas.openxmlformats.org/officeDocument/2006/relationships/footer" Target="footer4.xml"/><Relationship Id="rId44" Type="http://schemas.openxmlformats.org/officeDocument/2006/relationships/hyperlink" Target="http://www.nuclearsafety.gc.ca/pubs_catalogue/uploads_fre/REGDOC-3-6-Glossary-of-CNSC-Terminology-fra.pdf" TargetMode="External"/><Relationship Id="rId52" Type="http://schemas.openxmlformats.org/officeDocument/2006/relationships/hyperlink" Target="https://www.iaea.org/publications/7942/conduct-of-operations-at-nuclear-power-plants" TargetMode="External"/><Relationship Id="rId60" Type="http://schemas.openxmlformats.org/officeDocument/2006/relationships/hyperlink" Target="http://www.cnsc-ccsn.gc.ca/fra/acts-and-regulations/regulatory-documents/index.cfm" TargetMode="External"/><Relationship Id="rId65" Type="http://schemas.openxmlformats.org/officeDocument/2006/relationships/hyperlink" Target="http://www.cnsc-ccsn.gc.ca/fra/acts-and-regulations/regulatory-documents/index.cfm" TargetMode="External"/><Relationship Id="rId73" Type="http://schemas.openxmlformats.org/officeDocument/2006/relationships/hyperlink" Target="http://www.cnsc-ccsn.gc.ca/fra/acts-and-regulations/regulatory-documents/index.cfm" TargetMode="External"/><Relationship Id="rId78" Type="http://schemas.openxmlformats.org/officeDocument/2006/relationships/hyperlink" Target="http://www.cnsc-ccsn.gc.ca/fra/acts-and-regulations/regulatory-documents/index.cfm" TargetMode="External"/><Relationship Id="rId81"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8C6E-407C-4412-B7ED-5D01DE86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17430</Words>
  <Characters>99352</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CNSC-CCSN</Company>
  <LinksUpToDate>false</LinksUpToDate>
  <CharactersWithSpaces>116549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Daw</dc:creator>
  <cp:lastModifiedBy>Ross, Wesley</cp:lastModifiedBy>
  <cp:revision>2</cp:revision>
  <dcterms:created xsi:type="dcterms:W3CDTF">2023-12-21T18:47:00Z</dcterms:created>
  <dcterms:modified xsi:type="dcterms:W3CDTF">2023-12-21T18:47:00Z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25669-efcc-4cdf-ab3c-5f9e46e1a48a_Enabled">
    <vt:lpwstr>true</vt:lpwstr>
  </property>
  <property fmtid="{D5CDD505-2E9C-101B-9397-08002B2CF9AE}" pid="3" name="MSIP_Label_d5725669-efcc-4cdf-ab3c-5f9e46e1a48a_SetDate">
    <vt:lpwstr>2023-09-01T18:05:40Z</vt:lpwstr>
  </property>
  <property fmtid="{D5CDD505-2E9C-101B-9397-08002B2CF9AE}" pid="4" name="MSIP_Label_d5725669-efcc-4cdf-ab3c-5f9e46e1a48a_Method">
    <vt:lpwstr>Standard</vt:lpwstr>
  </property>
  <property fmtid="{D5CDD505-2E9C-101B-9397-08002B2CF9AE}" pid="5" name="MSIP_Label_d5725669-efcc-4cdf-ab3c-5f9e46e1a48a_Name">
    <vt:lpwstr>Unclassified - Non classifié</vt:lpwstr>
  </property>
  <property fmtid="{D5CDD505-2E9C-101B-9397-08002B2CF9AE}" pid="6" name="MSIP_Label_d5725669-efcc-4cdf-ab3c-5f9e46e1a48a_SiteId">
    <vt:lpwstr>bb89644a-48bf-49b7-8f8a-6f2519ea6bd4</vt:lpwstr>
  </property>
  <property fmtid="{D5CDD505-2E9C-101B-9397-08002B2CF9AE}" pid="7" name="MSIP_Label_d5725669-efcc-4cdf-ab3c-5f9e46e1a48a_ActionId">
    <vt:lpwstr>0c06ef50-b170-430d-9584-eb7281f39088</vt:lpwstr>
  </property>
  <property fmtid="{D5CDD505-2E9C-101B-9397-08002B2CF9AE}" pid="8" name="MSIP_Label_d5725669-efcc-4cdf-ab3c-5f9e46e1a48a_ContentBits">
    <vt:lpwstr>0</vt:lpwstr>
  </property>
</Properties>
</file>